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D8547" w14:textId="7B5DD975" w:rsidR="002763B5" w:rsidRPr="00D11938" w:rsidRDefault="005427B3" w:rsidP="00D11938">
      <w:pPr>
        <w:spacing w:line="276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Pět let v Evropském parlamentu –</w:t>
      </w:r>
      <w:r w:rsidR="0084223D"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D5ABD">
        <w:rPr>
          <w:rFonts w:ascii="Arial Unicode MS" w:eastAsia="Arial Unicode MS" w:hAnsi="Arial Unicode MS" w:cs="Arial Unicode MS"/>
          <w:b/>
          <w:sz w:val="24"/>
          <w:szCs w:val="24"/>
        </w:rPr>
        <w:t>co za mnou zůstalo</w:t>
      </w: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14:paraId="68B6F249" w14:textId="4AF7226E" w:rsidR="00AB4BAA" w:rsidRDefault="00AB4BAA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Před 5 lety</w:t>
      </w:r>
      <w:r w:rsidR="0084223D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jsem</w:t>
      </w:r>
      <w:r w:rsidR="000D4A8F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4223D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byl </w:t>
      </w:r>
      <w:r w:rsidR="000D4A8F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zvolen poslancem </w:t>
      </w:r>
      <w:r w:rsidR="005427B3" w:rsidRPr="00D11938">
        <w:rPr>
          <w:rFonts w:ascii="Arial Unicode MS" w:eastAsia="Arial Unicode MS" w:hAnsi="Arial Unicode MS" w:cs="Arial Unicode MS"/>
          <w:sz w:val="24"/>
          <w:szCs w:val="24"/>
        </w:rPr>
        <w:t>Evropského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parlamentu, kde </w:t>
      </w:r>
      <w:r w:rsidR="0084223D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jsem </w:t>
      </w:r>
      <w:r>
        <w:rPr>
          <w:rFonts w:ascii="Arial Unicode MS" w:eastAsia="Arial Unicode MS" w:hAnsi="Arial Unicode MS" w:cs="Arial Unicode MS"/>
          <w:sz w:val="24"/>
          <w:szCs w:val="24"/>
        </w:rPr>
        <w:t>následně</w:t>
      </w:r>
      <w:r w:rsidR="00D845D7">
        <w:rPr>
          <w:rFonts w:ascii="Arial Unicode MS" w:eastAsia="Arial Unicode MS" w:hAnsi="Arial Unicode MS" w:cs="Arial Unicode MS"/>
          <w:sz w:val="24"/>
          <w:szCs w:val="24"/>
        </w:rPr>
        <w:t xml:space="preserve"> působil v politické skupině Aliance liberálů a demokratů pro Evropu (ALDE) 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pracoval na 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>řadě legislativních návrhů, které mění podobu Unie, zejména posilují bezpečnost a hospodářskou stabilitu</w:t>
      </w:r>
      <w:r w:rsidR="00EB7ECB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V nadcházejících volbách</w:t>
      </w:r>
      <w:r w:rsidR="000D4A8F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 xml:space="preserve">budu mandát </w:t>
      </w:r>
      <w:r w:rsidR="0042596E" w:rsidRPr="00D11938">
        <w:rPr>
          <w:rFonts w:ascii="Arial Unicode MS" w:eastAsia="Arial Unicode MS" w:hAnsi="Arial Unicode MS" w:cs="Arial Unicode MS"/>
          <w:sz w:val="24"/>
          <w:szCs w:val="24"/>
        </w:rPr>
        <w:t>obh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>a</w:t>
      </w:r>
      <w:r w:rsidR="0042596E" w:rsidRPr="00D11938">
        <w:rPr>
          <w:rFonts w:ascii="Arial Unicode MS" w:eastAsia="Arial Unicode MS" w:hAnsi="Arial Unicode MS" w:cs="Arial Unicode MS"/>
          <w:sz w:val="24"/>
          <w:szCs w:val="24"/>
        </w:rPr>
        <w:t>j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>ovat</w:t>
      </w:r>
      <w:r w:rsidR="00ED5AB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D4A8F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na kandidátce </w:t>
      </w:r>
      <w:r w:rsidR="000D4A8F" w:rsidRPr="00D11938">
        <w:rPr>
          <w:rFonts w:ascii="Arial Unicode MS" w:eastAsia="Arial Unicode MS" w:hAnsi="Arial Unicode MS" w:cs="Arial Unicode MS"/>
          <w:b/>
          <w:sz w:val="24"/>
          <w:szCs w:val="24"/>
        </w:rPr>
        <w:t>hnutí Hlas</w:t>
      </w:r>
      <w:r w:rsidR="000D4A8F" w:rsidRPr="00D11938">
        <w:rPr>
          <w:rFonts w:ascii="Arial Unicode MS" w:eastAsia="Arial Unicode MS" w:hAnsi="Arial Unicode MS" w:cs="Arial Unicode MS"/>
          <w:sz w:val="24"/>
          <w:szCs w:val="24"/>
        </w:rPr>
        <w:t>, které</w:t>
      </w:r>
      <w:r w:rsidR="0084223D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jsme</w:t>
      </w:r>
      <w:r w:rsidR="000D4A8F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založil</w:t>
      </w:r>
      <w:r w:rsidR="0084223D" w:rsidRPr="00D11938">
        <w:rPr>
          <w:rFonts w:ascii="Arial Unicode MS" w:eastAsia="Arial Unicode MS" w:hAnsi="Arial Unicode MS" w:cs="Arial Unicode MS"/>
          <w:sz w:val="24"/>
          <w:szCs w:val="24"/>
        </w:rPr>
        <w:t>i</w:t>
      </w:r>
      <w:r w:rsidR="000D4A8F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společně s místopředsedou Evropského parlamentu Pavlem Teličkou</w:t>
      </w:r>
      <w:r w:rsidR="0084223D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a dalšími</w:t>
      </w:r>
      <w:r w:rsidR="00EB7ECB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791A8376" w14:textId="7AE6D14B" w:rsidR="00AB4BAA" w:rsidRDefault="00660B65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Více o mně a hnutí např. v článku </w:t>
      </w:r>
      <w:hyperlink r:id="rId8" w:history="1">
        <w:r w:rsidRPr="00660B65">
          <w:rPr>
            <w:rStyle w:val="Hypertextovodkaz"/>
            <w:rFonts w:ascii="Arial Unicode MS" w:eastAsia="Arial Unicode MS" w:hAnsi="Arial Unicode MS" w:cs="Arial Unicode MS"/>
            <w:sz w:val="24"/>
            <w:szCs w:val="24"/>
          </w:rPr>
          <w:t>zde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BAC526E" w14:textId="306A9B29" w:rsidR="0074542C" w:rsidRDefault="0074542C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Nejvýznamnější prvky činnosti mé a mého nepočetného, ale velmi výkonného asistentského týmu, shrnují následující odstavce. </w:t>
      </w:r>
    </w:p>
    <w:p w14:paraId="532C96A8" w14:textId="4106B4D0" w:rsidR="00D76BC4" w:rsidRPr="00D11938" w:rsidRDefault="00AB4BAA" w:rsidP="00D11938">
      <w:pPr>
        <w:spacing w:line="276" w:lineRule="auto"/>
        <w:jc w:val="center"/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Přehled výborů a delegací</w:t>
      </w:r>
      <w:r w:rsidR="00D76BC4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 xml:space="preserve"> Evropského parlamentu</w:t>
      </w:r>
      <w:r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, předsednictví</w:t>
      </w:r>
    </w:p>
    <w:p w14:paraId="709C89AA" w14:textId="184EEEC6" w:rsidR="00442F79" w:rsidRPr="00D11938" w:rsidRDefault="00684588" w:rsidP="00D1193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>Během svého pětilet</w:t>
      </w:r>
      <w:r w:rsidR="00C464DF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ého mandátu </w:t>
      </w:r>
      <w:r w:rsidR="00EB7ECB" w:rsidRPr="00D11938">
        <w:rPr>
          <w:rFonts w:ascii="Arial Unicode MS" w:eastAsia="Arial Unicode MS" w:hAnsi="Arial Unicode MS" w:cs="Arial Unicode MS"/>
          <w:sz w:val="24"/>
          <w:szCs w:val="24"/>
        </w:rPr>
        <w:t>jsem působil</w:t>
      </w:r>
      <w:r w:rsidR="00C464DF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celkem</w:t>
      </w:r>
      <w:r w:rsidR="00C464DF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v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464DF" w:rsidRPr="00D11938">
        <w:rPr>
          <w:rFonts w:ascii="Arial Unicode MS" w:eastAsia="Arial Unicode MS" w:hAnsi="Arial Unicode MS" w:cs="Arial Unicode MS"/>
          <w:b/>
          <w:sz w:val="24"/>
          <w:szCs w:val="24"/>
        </w:rPr>
        <w:t>sedmi výborec</w:t>
      </w:r>
      <w:r w:rsidR="00442F79" w:rsidRPr="00D11938">
        <w:rPr>
          <w:rFonts w:ascii="Arial Unicode MS" w:eastAsia="Arial Unicode MS" w:hAnsi="Arial Unicode MS" w:cs="Arial Unicode MS"/>
          <w:b/>
          <w:sz w:val="24"/>
          <w:szCs w:val="24"/>
        </w:rPr>
        <w:t>h Evropského parlamentu</w:t>
      </w:r>
      <w:r w:rsidR="00AB4BAA">
        <w:rPr>
          <w:rFonts w:ascii="Arial Unicode MS" w:eastAsia="Arial Unicode MS" w:hAnsi="Arial Unicode MS" w:cs="Arial Unicode MS"/>
          <w:sz w:val="24"/>
          <w:szCs w:val="24"/>
        </w:rPr>
        <w:t xml:space="preserve"> a byl</w:t>
      </w:r>
      <w:r w:rsidR="00442F79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B7ECB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jsem </w:t>
      </w:r>
      <w:r w:rsidR="00442F79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zvolen </w:t>
      </w:r>
      <w:r w:rsidR="00AB4BAA">
        <w:rPr>
          <w:rFonts w:ascii="Arial Unicode MS" w:eastAsia="Arial Unicode MS" w:hAnsi="Arial Unicode MS" w:cs="Arial Unicode MS"/>
          <w:sz w:val="24"/>
          <w:szCs w:val="24"/>
        </w:rPr>
        <w:t>předsedou</w:t>
      </w:r>
      <w:r w:rsidR="00442F79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Zvláštního výboru pro finanční trestné činy, vyhýbání se daňovým po</w:t>
      </w:r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>vinnostem a daňové úniky (TAX3)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>N</w:t>
      </w:r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avázal 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 xml:space="preserve">jsem tak </w:t>
      </w:r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na 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 xml:space="preserve">svou </w:t>
      </w:r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>práci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 xml:space="preserve"> v</w:t>
      </w:r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předchozích 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 xml:space="preserve">zvláštních </w:t>
      </w:r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>výbor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>ech</w:t>
      </w:r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pro daňová rozhodnutí TAXE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 xml:space="preserve"> a</w:t>
      </w:r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TAX2 a vyše</w:t>
      </w:r>
      <w:r w:rsidR="00EB7ECB" w:rsidRPr="00D11938">
        <w:rPr>
          <w:rFonts w:ascii="Arial Unicode MS" w:eastAsia="Arial Unicode MS" w:hAnsi="Arial Unicode MS" w:cs="Arial Unicode MS"/>
          <w:sz w:val="24"/>
          <w:szCs w:val="24"/>
        </w:rPr>
        <w:t>třovacího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B7ECB" w:rsidRPr="00D11938">
        <w:rPr>
          <w:rFonts w:ascii="Arial Unicode MS" w:eastAsia="Arial Unicode MS" w:hAnsi="Arial Unicode MS" w:cs="Arial Unicode MS"/>
          <w:sz w:val="24"/>
          <w:szCs w:val="24"/>
        </w:rPr>
        <w:t>výboru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 xml:space="preserve"> PANA</w:t>
      </w:r>
      <w:r w:rsidR="00EB7ECB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F481A">
        <w:rPr>
          <w:rFonts w:ascii="Arial Unicode MS" w:eastAsia="Arial Unicode MS" w:hAnsi="Arial Unicode MS" w:cs="Arial Unicode MS"/>
          <w:sz w:val="24"/>
          <w:szCs w:val="24"/>
        </w:rPr>
        <w:t>k daňovým únikům odhaleným v tzv. panamských dokumentech</w:t>
      </w:r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405A2868" w14:textId="7DAD76E6" w:rsidR="00D8555B" w:rsidRPr="00D11938" w:rsidRDefault="00D8555B" w:rsidP="00D1193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Dále </w:t>
      </w:r>
      <w:r w:rsidR="00EB7ECB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jsem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působil v Hospodářském a měnovém výboru (ECON), Výboru pro občanské svobody, spravedlnost a vnitřní věci (LIBE) a Zvláštním výboru pro terorismus (TERR).</w:t>
      </w:r>
    </w:p>
    <w:p w14:paraId="5DCCFC1D" w14:textId="13635DB6" w:rsidR="00442F79" w:rsidRPr="00D11938" w:rsidRDefault="00EB7ECB" w:rsidP="00D1193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442F79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ředsedal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jsem </w:t>
      </w:r>
      <w:r w:rsidR="00442F79" w:rsidRPr="00D11938">
        <w:rPr>
          <w:rFonts w:ascii="Arial Unicode MS" w:eastAsia="Arial Unicode MS" w:hAnsi="Arial Unicode MS" w:cs="Arial Unicode MS"/>
          <w:sz w:val="24"/>
          <w:szCs w:val="24"/>
        </w:rPr>
        <w:t>Delegaci EP pro vztahy s Japonskem, a působil v</w:t>
      </w:r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442F79" w:rsidRPr="00D11938">
        <w:rPr>
          <w:rFonts w:ascii="Arial Unicode MS" w:eastAsia="Arial Unicode MS" w:hAnsi="Arial Unicode MS" w:cs="Arial Unicode MS"/>
          <w:sz w:val="24"/>
          <w:szCs w:val="24"/>
        </w:rPr>
        <w:t>Delegaci</w:t>
      </w:r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ve Smíšeném parlamentním shromáždění AKT-EU, která sdružuje poslance EP a poslance parlamentů 78 afrických, karibských a tichomořských zemí (AKT), které podepsaly v roce 2000 tzv. Dohodu z </w:t>
      </w:r>
      <w:proofErr w:type="spellStart"/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>Cotonou</w:t>
      </w:r>
      <w:proofErr w:type="spellEnd"/>
      <w:r w:rsidR="00D8555B" w:rsidRPr="00D1193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C8CAA94" w14:textId="375068DC" w:rsidR="009E5AB0" w:rsidRPr="00D11938" w:rsidRDefault="009E5AB0" w:rsidP="00D11938">
      <w:pPr>
        <w:spacing w:line="276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A337B8D" w14:textId="26CACD09" w:rsidR="00B6410D" w:rsidRPr="00D11938" w:rsidRDefault="00AB4BAA" w:rsidP="00D11938">
      <w:pPr>
        <w:pStyle w:val="Odstavecseseznamem"/>
        <w:spacing w:line="276" w:lineRule="auto"/>
        <w:jc w:val="center"/>
        <w:rPr>
          <w:rFonts w:ascii="Arial Unicode MS" w:eastAsia="Arial Unicode MS" w:hAnsi="Arial Unicode MS" w:cs="Arial Unicode MS"/>
          <w:b/>
          <w:color w:val="FF0066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FF0066"/>
          <w:sz w:val="24"/>
          <w:szCs w:val="24"/>
        </w:rPr>
        <w:lastRenderedPageBreak/>
        <w:t>Předseda</w:t>
      </w:r>
      <w:r w:rsidR="006D275A" w:rsidRPr="00D11938">
        <w:rPr>
          <w:rFonts w:ascii="Arial Unicode MS" w:eastAsia="Arial Unicode MS" w:hAnsi="Arial Unicode MS" w:cs="Arial Unicode MS"/>
          <w:b/>
          <w:color w:val="FF0066"/>
          <w:sz w:val="24"/>
          <w:szCs w:val="24"/>
        </w:rPr>
        <w:t xml:space="preserve"> </w:t>
      </w:r>
      <w:r w:rsidR="000B798E" w:rsidRPr="00D11938">
        <w:rPr>
          <w:rFonts w:ascii="Arial Unicode MS" w:eastAsia="Arial Unicode MS" w:hAnsi="Arial Unicode MS" w:cs="Arial Unicode MS"/>
          <w:b/>
          <w:color w:val="FF0066"/>
          <w:sz w:val="24"/>
          <w:szCs w:val="24"/>
        </w:rPr>
        <w:t>Zvláštního v</w:t>
      </w:r>
      <w:r w:rsidR="006D275A" w:rsidRPr="00D11938">
        <w:rPr>
          <w:rFonts w:ascii="Arial Unicode MS" w:eastAsia="Arial Unicode MS" w:hAnsi="Arial Unicode MS" w:cs="Arial Unicode MS"/>
          <w:b/>
          <w:color w:val="FF0066"/>
          <w:sz w:val="24"/>
          <w:szCs w:val="24"/>
        </w:rPr>
        <w:t>ýbor</w:t>
      </w:r>
      <w:r w:rsidR="000B798E" w:rsidRPr="00D11938">
        <w:rPr>
          <w:rFonts w:ascii="Arial Unicode MS" w:eastAsia="Arial Unicode MS" w:hAnsi="Arial Unicode MS" w:cs="Arial Unicode MS"/>
          <w:b/>
          <w:color w:val="FF0066"/>
          <w:sz w:val="24"/>
          <w:szCs w:val="24"/>
        </w:rPr>
        <w:t>u</w:t>
      </w:r>
      <w:r w:rsidR="00B6410D" w:rsidRPr="00D11938">
        <w:rPr>
          <w:rFonts w:ascii="Arial Unicode MS" w:eastAsia="Arial Unicode MS" w:hAnsi="Arial Unicode MS" w:cs="Arial Unicode MS"/>
          <w:b/>
          <w:color w:val="FF0066"/>
          <w:sz w:val="24"/>
          <w:szCs w:val="24"/>
        </w:rPr>
        <w:t xml:space="preserve"> pro finanční trestné činy, vyhýbání se daňovým povinnostem a daňové úniky</w:t>
      </w:r>
      <w:r w:rsidR="009E5AB0" w:rsidRPr="00D11938">
        <w:rPr>
          <w:rFonts w:ascii="Arial Unicode MS" w:eastAsia="Arial Unicode MS" w:hAnsi="Arial Unicode MS" w:cs="Arial Unicode MS"/>
          <w:b/>
          <w:color w:val="FF0066"/>
          <w:sz w:val="24"/>
          <w:szCs w:val="24"/>
        </w:rPr>
        <w:t xml:space="preserve"> (TAX3)</w:t>
      </w:r>
    </w:p>
    <w:p w14:paraId="37044A42" w14:textId="0621EBB7" w:rsidR="006D275A" w:rsidRPr="00D11938" w:rsidRDefault="00BF767C" w:rsidP="00D11938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Výbor </w:t>
      </w:r>
      <w:r w:rsidR="00BD39F0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TAX3 </w:t>
      </w:r>
      <w:r w:rsidR="00736C91">
        <w:rPr>
          <w:rFonts w:ascii="Arial Unicode MS" w:eastAsia="Arial Unicode MS" w:hAnsi="Arial Unicode MS" w:cs="Arial Unicode MS"/>
          <w:sz w:val="24"/>
          <w:szCs w:val="24"/>
        </w:rPr>
        <w:t>navázal na práci tří předchozích výborů</w:t>
      </w:r>
      <w:r w:rsidR="003B34BA">
        <w:rPr>
          <w:rFonts w:ascii="Arial Unicode MS" w:eastAsia="Arial Unicode MS" w:hAnsi="Arial Unicode MS" w:cs="Arial Unicode MS"/>
          <w:sz w:val="24"/>
          <w:szCs w:val="24"/>
        </w:rPr>
        <w:t>, které jsem se také zúčastnil,</w:t>
      </w:r>
      <w:r w:rsidR="00736C91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zahájil svou činnost v březnu 2018</w:t>
      </w:r>
      <w:r w:rsidR="00521694">
        <w:rPr>
          <w:rFonts w:ascii="Arial Unicode MS" w:eastAsia="Arial Unicode MS" w:hAnsi="Arial Unicode MS" w:cs="Arial Unicode MS"/>
          <w:sz w:val="24"/>
          <w:szCs w:val="24"/>
        </w:rPr>
        <w:t>, kdy jsem byl i zvolen jeho</w:t>
      </w:r>
      <w:r w:rsidR="00736C9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36C91" w:rsidRPr="00736C91">
        <w:rPr>
          <w:rFonts w:ascii="Arial Unicode MS" w:eastAsia="Arial Unicode MS" w:hAnsi="Arial Unicode MS" w:cs="Arial Unicode MS"/>
          <w:b/>
          <w:sz w:val="24"/>
          <w:szCs w:val="24"/>
        </w:rPr>
        <w:t>předsedou</w:t>
      </w:r>
      <w:r w:rsidR="006D275A" w:rsidRPr="00521694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49AFA8B3" w14:textId="35A9D13A" w:rsidR="00D50594" w:rsidRPr="00D11938" w:rsidRDefault="00D50594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>Aktivity čtyř výborů</w:t>
      </w:r>
      <w:r w:rsidR="00736C91">
        <w:rPr>
          <w:rFonts w:ascii="Arial Unicode MS" w:eastAsia="Arial Unicode MS" w:hAnsi="Arial Unicode MS" w:cs="Arial Unicode MS"/>
          <w:sz w:val="24"/>
          <w:szCs w:val="24"/>
        </w:rPr>
        <w:t xml:space="preserve"> v dané oblasti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B34BA">
        <w:rPr>
          <w:rFonts w:ascii="Arial Unicode MS" w:eastAsia="Arial Unicode MS" w:hAnsi="Arial Unicode MS" w:cs="Arial Unicode MS"/>
          <w:sz w:val="24"/>
          <w:szCs w:val="24"/>
        </w:rPr>
        <w:t>-</w:t>
      </w:r>
      <w:r w:rsidR="00736C9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B34BA">
        <w:rPr>
          <w:rFonts w:ascii="Arial Unicode MS" w:eastAsia="Arial Unicode MS" w:hAnsi="Arial Unicode MS" w:cs="Arial Unicode MS"/>
          <w:sz w:val="24"/>
          <w:szCs w:val="24"/>
        </w:rPr>
        <w:t>celkem 93 zasedání</w:t>
      </w:r>
      <w:r w:rsidR="00736C91">
        <w:rPr>
          <w:rFonts w:ascii="Arial Unicode MS" w:eastAsia="Arial Unicode MS" w:hAnsi="Arial Unicode MS" w:cs="Arial Unicode MS"/>
          <w:sz w:val="24"/>
          <w:szCs w:val="24"/>
        </w:rPr>
        <w:t>, z toho 40 veřejných slyšení</w:t>
      </w:r>
      <w:r w:rsidR="003B34BA">
        <w:rPr>
          <w:rFonts w:ascii="Arial Unicode MS" w:eastAsia="Arial Unicode MS" w:hAnsi="Arial Unicode MS" w:cs="Arial Unicode MS"/>
          <w:sz w:val="24"/>
          <w:szCs w:val="24"/>
        </w:rPr>
        <w:t xml:space="preserve"> za účasti expertů -</w:t>
      </w:r>
      <w:r w:rsidR="00E81D77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3B34BA">
        <w:rPr>
          <w:rFonts w:ascii="Arial Unicode MS" w:eastAsia="Arial Unicode MS" w:hAnsi="Arial Unicode MS" w:cs="Arial Unicode MS"/>
          <w:sz w:val="24"/>
          <w:szCs w:val="24"/>
        </w:rPr>
        <w:t xml:space="preserve">významně prohloubily znalosti problematiky a umožnily formulovat opatření k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 boji proti finanční kriminalitě a daňovým podvodům. Intenzivní práce Evropského parlamentu v této oblasti a sp</w:t>
      </w:r>
      <w:r w:rsidR="00BD39F0" w:rsidRPr="00D11938">
        <w:rPr>
          <w:rFonts w:ascii="Arial Unicode MS" w:eastAsia="Arial Unicode MS" w:hAnsi="Arial Unicode MS" w:cs="Arial Unicode MS"/>
          <w:sz w:val="24"/>
          <w:szCs w:val="24"/>
        </w:rPr>
        <w:t>olupráce s Evropskou komisí vedla také ke konkrétním výsledkům</w:t>
      </w:r>
      <w:r w:rsidR="003B34BA">
        <w:rPr>
          <w:rFonts w:ascii="Arial Unicode MS" w:eastAsia="Arial Unicode MS" w:hAnsi="Arial Unicode MS" w:cs="Arial Unicode MS"/>
          <w:sz w:val="24"/>
          <w:szCs w:val="24"/>
        </w:rPr>
        <w:t xml:space="preserve"> v oblasti modernizace a posílení právního rámce EU</w:t>
      </w:r>
      <w:r w:rsidR="00BD39F0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– v současném pětiletém období bylo ze strany Komise předloženo</w:t>
      </w:r>
      <w:r w:rsidR="00BD39F0"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D31A3" w:rsidRPr="00D11938">
        <w:rPr>
          <w:rFonts w:ascii="Arial Unicode MS" w:eastAsia="Arial Unicode MS" w:hAnsi="Arial Unicode MS" w:cs="Arial Unicode MS"/>
          <w:b/>
          <w:sz w:val="24"/>
          <w:szCs w:val="24"/>
        </w:rPr>
        <w:t>26 legislativních návrhů</w:t>
      </w:r>
      <w:r w:rsidR="00BD39F0"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k</w:t>
      </w:r>
      <w:r w:rsidR="000332E6" w:rsidRPr="00D11938">
        <w:rPr>
          <w:rFonts w:ascii="Arial Unicode MS" w:eastAsia="Arial Unicode MS" w:hAnsi="Arial Unicode MS" w:cs="Arial Unicode MS"/>
          <w:b/>
          <w:sz w:val="24"/>
          <w:szCs w:val="24"/>
        </w:rPr>
        <w:t> předcházení finančním podvodům, praní peněz a daňovým únikům,</w:t>
      </w:r>
      <w:r w:rsidR="00ED31A3"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což je více,</w:t>
      </w:r>
      <w:r w:rsidR="000332E6"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než </w:t>
      </w:r>
      <w:r w:rsidR="00ED31A3"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bylo předloženo </w:t>
      </w:r>
      <w:r w:rsidR="000332E6" w:rsidRPr="00D11938">
        <w:rPr>
          <w:rFonts w:ascii="Arial Unicode MS" w:eastAsia="Arial Unicode MS" w:hAnsi="Arial Unicode MS" w:cs="Arial Unicode MS"/>
          <w:b/>
          <w:sz w:val="24"/>
          <w:szCs w:val="24"/>
        </w:rPr>
        <w:t>v uplynulých dvaceti letech</w:t>
      </w:r>
      <w:r w:rsidR="000332E6" w:rsidRPr="00D11938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ED31A3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25143DC9" w14:textId="3341EB4D" w:rsidR="005F4533" w:rsidRDefault="00107109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>Výbor TAX3</w:t>
      </w:r>
      <w:r w:rsidR="00ED31A3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přijal závěrečnou zprávu, která </w:t>
      </w:r>
      <w:r w:rsidR="00736C91">
        <w:rPr>
          <w:rFonts w:ascii="Arial Unicode MS" w:eastAsia="Arial Unicode MS" w:hAnsi="Arial Unicode MS" w:cs="Arial Unicode MS"/>
          <w:sz w:val="24"/>
          <w:szCs w:val="24"/>
        </w:rPr>
        <w:t>obsahuje</w:t>
      </w:r>
      <w:r w:rsidR="00DF30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F301D" w:rsidRPr="005F4533">
        <w:rPr>
          <w:rFonts w:ascii="Arial Unicode MS" w:eastAsia="Arial Unicode MS" w:hAnsi="Arial Unicode MS" w:cs="Arial Unicode MS"/>
          <w:b/>
          <w:bCs/>
          <w:sz w:val="24"/>
          <w:szCs w:val="24"/>
        </w:rPr>
        <w:t>hlavní</w:t>
      </w:r>
      <w:r w:rsidR="00736C91" w:rsidRPr="005F453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zjištění a</w:t>
      </w:r>
      <w:r w:rsidR="00DF301D" w:rsidRPr="005F453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přes 200</w:t>
      </w:r>
      <w:r w:rsidR="00736C91" w:rsidRPr="005F453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doporučení</w:t>
      </w:r>
      <w:r w:rsidR="00736C91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="008F33E1" w:rsidRPr="00D11938">
        <w:rPr>
          <w:rFonts w:ascii="Arial Unicode MS" w:eastAsia="Arial Unicode MS" w:hAnsi="Arial Unicode MS" w:cs="Arial Unicode MS"/>
          <w:sz w:val="24"/>
          <w:szCs w:val="24"/>
        </w:rPr>
        <w:t>jak zlepšit stávající práv</w:t>
      </w:r>
      <w:r w:rsidR="002C2979">
        <w:rPr>
          <w:rFonts w:ascii="Arial Unicode MS" w:eastAsia="Arial Unicode MS" w:hAnsi="Arial Unicode MS" w:cs="Arial Unicode MS"/>
          <w:sz w:val="24"/>
          <w:szCs w:val="24"/>
        </w:rPr>
        <w:t xml:space="preserve">ní rámec EU v oblasti </w:t>
      </w:r>
      <w:r w:rsidR="008F33E1" w:rsidRPr="00D11938">
        <w:rPr>
          <w:rFonts w:ascii="Arial Unicode MS" w:eastAsia="Arial Unicode MS" w:hAnsi="Arial Unicode MS" w:cs="Arial Unicode MS"/>
          <w:sz w:val="24"/>
          <w:szCs w:val="24"/>
        </w:rPr>
        <w:t>boje proti praní peněz</w:t>
      </w:r>
      <w:r w:rsidR="002C2979">
        <w:rPr>
          <w:rFonts w:ascii="Arial Unicode MS" w:eastAsia="Arial Unicode MS" w:hAnsi="Arial Unicode MS" w:cs="Arial Unicode MS"/>
          <w:sz w:val="24"/>
          <w:szCs w:val="24"/>
        </w:rPr>
        <w:t xml:space="preserve"> a </w:t>
      </w:r>
      <w:r w:rsidR="008F33E1" w:rsidRPr="00D11938">
        <w:rPr>
          <w:rFonts w:ascii="Arial Unicode MS" w:eastAsia="Arial Unicode MS" w:hAnsi="Arial Unicode MS" w:cs="Arial Unicode MS"/>
          <w:sz w:val="24"/>
          <w:szCs w:val="24"/>
        </w:rPr>
        <w:t>daňovým podvodům, agresivnímu</w:t>
      </w:r>
      <w:r w:rsidR="002C2979">
        <w:rPr>
          <w:rFonts w:ascii="Arial Unicode MS" w:eastAsia="Arial Unicode MS" w:hAnsi="Arial Unicode MS" w:cs="Arial Unicode MS"/>
          <w:sz w:val="24"/>
          <w:szCs w:val="24"/>
        </w:rPr>
        <w:t xml:space="preserve"> daňovému plánování a d</w:t>
      </w:r>
      <w:r w:rsidR="008F33E1" w:rsidRPr="00D11938">
        <w:rPr>
          <w:rFonts w:ascii="Arial Unicode MS" w:eastAsia="Arial Unicode MS" w:hAnsi="Arial Unicode MS" w:cs="Arial Unicode MS"/>
          <w:sz w:val="24"/>
          <w:szCs w:val="24"/>
        </w:rPr>
        <w:t>aňový</w:t>
      </w:r>
      <w:r w:rsidR="002C2979"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8F33E1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rájů</w:t>
      </w:r>
      <w:r w:rsidR="002C2979">
        <w:rPr>
          <w:rFonts w:ascii="Arial Unicode MS" w:eastAsia="Arial Unicode MS" w:hAnsi="Arial Unicode MS" w:cs="Arial Unicode MS"/>
          <w:sz w:val="24"/>
          <w:szCs w:val="24"/>
        </w:rPr>
        <w:t>m</w:t>
      </w:r>
      <w:r w:rsidR="008F33E1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, dále </w:t>
      </w:r>
      <w:r w:rsidR="00ED5ABD">
        <w:rPr>
          <w:rFonts w:ascii="Arial Unicode MS" w:eastAsia="Arial Unicode MS" w:hAnsi="Arial Unicode MS" w:cs="Arial Unicode MS"/>
          <w:sz w:val="24"/>
          <w:szCs w:val="24"/>
        </w:rPr>
        <w:t xml:space="preserve">u </w:t>
      </w:r>
      <w:r w:rsidR="008F33E1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digitálního zdanění, jednotného systému výběru DPH, </w:t>
      </w:r>
      <w:r w:rsidR="002C2979">
        <w:rPr>
          <w:rFonts w:ascii="Arial Unicode MS" w:eastAsia="Arial Unicode MS" w:hAnsi="Arial Unicode MS" w:cs="Arial Unicode MS"/>
          <w:sz w:val="24"/>
          <w:szCs w:val="24"/>
        </w:rPr>
        <w:t>tzv. zlatých víz atd</w:t>
      </w:r>
      <w:r w:rsidR="008F33E1" w:rsidRPr="00D11938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5F453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177B7E98" w14:textId="5B70F416" w:rsidR="00BF767C" w:rsidRDefault="003F25D8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EE641D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e výboru TAX3 </w:t>
      </w:r>
      <w:r w:rsidR="003B0DFA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jsem </w:t>
      </w:r>
      <w:r>
        <w:rPr>
          <w:rFonts w:ascii="Arial Unicode MS" w:eastAsia="Arial Unicode MS" w:hAnsi="Arial Unicode MS" w:cs="Arial Unicode MS"/>
          <w:sz w:val="24"/>
          <w:szCs w:val="24"/>
        </w:rPr>
        <w:t>předsedal zasedáním výboru včetně 34 veřejných slyšení s ministry, komisaři, představiteli bank, firem vč.</w:t>
      </w:r>
      <w:r w:rsidR="003E7122">
        <w:rPr>
          <w:rFonts w:ascii="Arial Unicode MS" w:eastAsia="Arial Unicode MS" w:hAnsi="Arial Unicode MS" w:cs="Arial Unicode MS"/>
          <w:sz w:val="24"/>
          <w:szCs w:val="24"/>
        </w:rPr>
        <w:t xml:space="preserve"> Google, </w:t>
      </w:r>
      <w:proofErr w:type="spellStart"/>
      <w:r w:rsidR="003E7122">
        <w:rPr>
          <w:rFonts w:ascii="Arial Unicode MS" w:eastAsia="Arial Unicode MS" w:hAnsi="Arial Unicode MS" w:cs="Arial Unicode MS"/>
          <w:sz w:val="24"/>
          <w:szCs w:val="24"/>
        </w:rPr>
        <w:t>Facebook</w:t>
      </w:r>
      <w:proofErr w:type="spellEnd"/>
      <w:r w:rsidR="003E7122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3E7122">
        <w:rPr>
          <w:rFonts w:ascii="Arial Unicode MS" w:eastAsia="Arial Unicode MS" w:hAnsi="Arial Unicode MS" w:cs="Arial Unicode MS"/>
          <w:sz w:val="24"/>
          <w:szCs w:val="24"/>
        </w:rPr>
        <w:t>Nike</w:t>
      </w:r>
      <w:proofErr w:type="spellEnd"/>
      <w:r w:rsidR="003E7122">
        <w:rPr>
          <w:rFonts w:ascii="Arial Unicode MS" w:eastAsia="Arial Unicode MS" w:hAnsi="Arial Unicode MS" w:cs="Arial Unicode MS"/>
          <w:sz w:val="24"/>
          <w:szCs w:val="24"/>
        </w:rPr>
        <w:t xml:space="preserve"> nebo Mc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Donald a </w:t>
      </w:r>
      <w:r w:rsidR="003E7122">
        <w:rPr>
          <w:rFonts w:ascii="Arial Unicode MS" w:eastAsia="Arial Unicode MS" w:hAnsi="Arial Unicode MS" w:cs="Arial Unicode MS"/>
          <w:sz w:val="24"/>
          <w:szCs w:val="24"/>
        </w:rPr>
        <w:t xml:space="preserve">dalšími </w:t>
      </w:r>
      <w:r>
        <w:rPr>
          <w:rFonts w:ascii="Arial Unicode MS" w:eastAsia="Arial Unicode MS" w:hAnsi="Arial Unicode MS" w:cs="Arial Unicode MS"/>
          <w:sz w:val="24"/>
          <w:szCs w:val="24"/>
        </w:rPr>
        <w:t>experty. Předsedal jsem také jednáním koordinátorů politických skupin, na nichž jsme hledali shodu na programu činnosti výboru. A v</w:t>
      </w:r>
      <w:r w:rsidR="003B0DFA" w:rsidRPr="00D11938">
        <w:rPr>
          <w:rFonts w:ascii="Arial Unicode MS" w:eastAsia="Arial Unicode MS" w:hAnsi="Arial Unicode MS" w:cs="Arial Unicode MS"/>
          <w:sz w:val="24"/>
          <w:szCs w:val="24"/>
        </w:rPr>
        <w:t>edl</w:t>
      </w:r>
      <w:r w:rsidR="00736C9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D275A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zahraniční mise do zemí, jež se potýkají s problémy finanční </w:t>
      </w:r>
      <w:r w:rsidR="00EE641D" w:rsidRPr="00D11938">
        <w:rPr>
          <w:rFonts w:ascii="Arial Unicode MS" w:eastAsia="Arial Unicode MS" w:hAnsi="Arial Unicode MS" w:cs="Arial Unicode MS"/>
          <w:sz w:val="24"/>
          <w:szCs w:val="24"/>
        </w:rPr>
        <w:t>trestné činnosti</w:t>
      </w:r>
      <w:r w:rsidR="006D275A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a daňovými úniky</w:t>
      </w:r>
      <w:r w:rsidR="000332E6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736C91">
        <w:rPr>
          <w:rFonts w:ascii="Arial Unicode MS" w:eastAsia="Arial Unicode MS" w:hAnsi="Arial Unicode MS" w:cs="Arial Unicode MS"/>
          <w:sz w:val="24"/>
          <w:szCs w:val="24"/>
        </w:rPr>
        <w:t>USA</w:t>
      </w:r>
      <w:r w:rsidR="000332E6" w:rsidRPr="00D11938">
        <w:rPr>
          <w:rFonts w:ascii="Arial Unicode MS" w:eastAsia="Arial Unicode MS" w:hAnsi="Arial Unicode MS" w:cs="Arial Unicode MS"/>
          <w:sz w:val="24"/>
          <w:szCs w:val="24"/>
        </w:rPr>
        <w:t>, Ostrov Man, Lotyšsko, Estonsko a Dánsko)</w:t>
      </w:r>
      <w:r w:rsidR="00EE641D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12E4BA20" w14:textId="5BDEF2FB" w:rsidR="00083E13" w:rsidRDefault="00083E13" w:rsidP="00083E13">
      <w:pPr>
        <w:spacing w:line="276" w:lineRule="auto"/>
        <w:jc w:val="center"/>
        <w:rPr>
          <w:rFonts w:ascii="Arial Unicode MS" w:eastAsia="Arial Unicode MS" w:hAnsi="Arial Unicode MS" w:cs="Arial Unicode MS"/>
          <w:b/>
          <w:color w:val="FF0066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FF0066"/>
          <w:sz w:val="24"/>
          <w:szCs w:val="24"/>
        </w:rPr>
        <w:t>Zpravodaj Vyšetřovacího výboru pro praní peněz, vyhýbání se daňovým povinnostem a daňové úniky (PANA)</w:t>
      </w:r>
    </w:p>
    <w:p w14:paraId="131C5BEE" w14:textId="50C0DB18" w:rsidR="00083E13" w:rsidRPr="00083E13" w:rsidRDefault="00083E13" w:rsidP="00083E13">
      <w:pPr>
        <w:spacing w:line="276" w:lineRule="auto"/>
        <w:jc w:val="both"/>
        <w:rPr>
          <w:rFonts w:ascii="Arial Unicode MS" w:eastAsia="Arial Unicode MS" w:hAnsi="Arial Unicode MS" w:cs="Arial Unicode MS"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</w:rPr>
        <w:t xml:space="preserve">Tento vyšetřovací výbor </w:t>
      </w:r>
      <w:r w:rsidR="00AA073E">
        <w:rPr>
          <w:rFonts w:ascii="Arial Unicode MS" w:eastAsia="Arial Unicode MS" w:hAnsi="Arial Unicode MS" w:cs="Arial Unicode MS"/>
          <w:bCs/>
          <w:sz w:val="24"/>
          <w:szCs w:val="24"/>
        </w:rPr>
        <w:t>byl ustanoven v roce 2016 v</w:t>
      </w:r>
      <w:r w:rsidR="006031C0">
        <w:rPr>
          <w:rFonts w:ascii="Arial Unicode MS" w:eastAsia="Arial Unicode MS" w:hAnsi="Arial Unicode MS" w:cs="Arial Unicode MS"/>
          <w:bCs/>
          <w:sz w:val="24"/>
          <w:szCs w:val="24"/>
        </w:rPr>
        <w:t> </w:t>
      </w:r>
      <w:r w:rsidR="00AA073E">
        <w:rPr>
          <w:rFonts w:ascii="Arial Unicode MS" w:eastAsia="Arial Unicode MS" w:hAnsi="Arial Unicode MS" w:cs="Arial Unicode MS"/>
          <w:bCs/>
          <w:sz w:val="24"/>
          <w:szCs w:val="24"/>
        </w:rPr>
        <w:t>souvislosti</w:t>
      </w:r>
      <w:r w:rsidR="006031C0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AA073E">
        <w:rPr>
          <w:rFonts w:ascii="Arial Unicode MS" w:eastAsia="Arial Unicode MS" w:hAnsi="Arial Unicode MS" w:cs="Arial Unicode MS"/>
          <w:bCs/>
          <w:sz w:val="24"/>
          <w:szCs w:val="24"/>
        </w:rPr>
        <w:t>s</w:t>
      </w:r>
      <w:r w:rsidR="006031C0">
        <w:rPr>
          <w:rFonts w:ascii="Arial Unicode MS" w:eastAsia="Arial Unicode MS" w:hAnsi="Arial Unicode MS" w:cs="Arial Unicode MS"/>
          <w:bCs/>
          <w:sz w:val="24"/>
          <w:szCs w:val="24"/>
        </w:rPr>
        <w:t xml:space="preserve"> uniklými </w:t>
      </w:r>
      <w:r w:rsidR="00AA073E">
        <w:rPr>
          <w:rFonts w:ascii="Arial Unicode MS" w:eastAsia="Arial Unicode MS" w:hAnsi="Arial Unicode MS" w:cs="Arial Unicode MS"/>
          <w:bCs/>
          <w:sz w:val="24"/>
          <w:szCs w:val="24"/>
        </w:rPr>
        <w:t>informacemi o firmách registrovaných v daňových rájích,</w:t>
      </w:r>
      <w:r w:rsidR="006031C0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r w:rsidR="006031C0" w:rsidRPr="00D11938">
        <w:rPr>
          <w:rFonts w:ascii="Arial Unicode MS" w:eastAsia="Arial Unicode MS" w:hAnsi="Arial Unicode MS" w:cs="Arial Unicode MS"/>
          <w:sz w:val="24"/>
          <w:szCs w:val="24"/>
        </w:rPr>
        <w:t>které byly zakládány a využívány k praní peněz, daňovým únikům a ob</w:t>
      </w:r>
      <w:r w:rsidR="006031C0">
        <w:rPr>
          <w:rFonts w:ascii="Arial Unicode MS" w:eastAsia="Arial Unicode MS" w:hAnsi="Arial Unicode MS" w:cs="Arial Unicode MS"/>
          <w:sz w:val="24"/>
          <w:szCs w:val="24"/>
        </w:rPr>
        <w:t>cházení</w:t>
      </w:r>
      <w:r w:rsidR="006031C0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sankcí</w:t>
      </w:r>
      <w:r w:rsidR="006031C0">
        <w:rPr>
          <w:rFonts w:ascii="Arial Unicode MS" w:eastAsia="Arial Unicode MS" w:hAnsi="Arial Unicode MS" w:cs="Arial Unicode MS"/>
          <w:sz w:val="24"/>
          <w:szCs w:val="24"/>
        </w:rPr>
        <w:t>, v rámci</w:t>
      </w:r>
      <w:r w:rsidR="00AA073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tzv. </w:t>
      </w:r>
      <w:r w:rsidR="00ED5ABD">
        <w:rPr>
          <w:rFonts w:ascii="Arial Unicode MS" w:eastAsia="Arial Unicode MS" w:hAnsi="Arial Unicode MS" w:cs="Arial Unicode MS"/>
          <w:bCs/>
          <w:sz w:val="24"/>
          <w:szCs w:val="24"/>
        </w:rPr>
        <w:lastRenderedPageBreak/>
        <w:t>panamských dokumentů</w:t>
      </w:r>
      <w:r w:rsidR="005C7F48">
        <w:rPr>
          <w:rFonts w:ascii="Arial Unicode MS" w:eastAsia="Arial Unicode MS" w:hAnsi="Arial Unicode MS" w:cs="Arial Unicode MS"/>
          <w:bCs/>
          <w:sz w:val="24"/>
          <w:szCs w:val="24"/>
        </w:rPr>
        <w:t xml:space="preserve">. Po 18 měsících práce výboru jsem společně s kolegou </w:t>
      </w:r>
      <w:proofErr w:type="spellStart"/>
      <w:r w:rsidR="005C7F48">
        <w:rPr>
          <w:rFonts w:ascii="Arial Unicode MS" w:eastAsia="Arial Unicode MS" w:hAnsi="Arial Unicode MS" w:cs="Arial Unicode MS"/>
          <w:bCs/>
          <w:sz w:val="24"/>
          <w:szCs w:val="24"/>
        </w:rPr>
        <w:t>Jeppe</w:t>
      </w:r>
      <w:proofErr w:type="spellEnd"/>
      <w:r w:rsidR="005C7F48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  <w:proofErr w:type="spellStart"/>
      <w:r w:rsidR="005C7F48">
        <w:rPr>
          <w:rFonts w:ascii="Arial Unicode MS" w:eastAsia="Arial Unicode MS" w:hAnsi="Arial Unicode MS" w:cs="Arial Unicode MS"/>
          <w:bCs/>
          <w:sz w:val="24"/>
          <w:szCs w:val="24"/>
        </w:rPr>
        <w:t>Kofodem</w:t>
      </w:r>
      <w:proofErr w:type="spellEnd"/>
      <w:r w:rsidR="005C7F48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z Dánska vypracovali jako zpravodajové výboru návrh jeho </w:t>
      </w:r>
      <w:r w:rsidR="00AA073E">
        <w:rPr>
          <w:rFonts w:ascii="Arial Unicode MS" w:eastAsia="Arial Unicode MS" w:hAnsi="Arial Unicode MS" w:cs="Arial Unicode MS"/>
          <w:bCs/>
          <w:sz w:val="24"/>
          <w:szCs w:val="24"/>
        </w:rPr>
        <w:t>závěrečné zprávy</w:t>
      </w:r>
      <w:r w:rsidR="005C7F48">
        <w:rPr>
          <w:rFonts w:ascii="Arial Unicode MS" w:eastAsia="Arial Unicode MS" w:hAnsi="Arial Unicode MS" w:cs="Arial Unicode MS"/>
          <w:bCs/>
          <w:sz w:val="24"/>
          <w:szCs w:val="24"/>
        </w:rPr>
        <w:t xml:space="preserve">, kterou </w:t>
      </w:r>
      <w:r w:rsidR="00ED5ABD">
        <w:rPr>
          <w:rFonts w:ascii="Arial Unicode MS" w:eastAsia="Arial Unicode MS" w:hAnsi="Arial Unicode MS" w:cs="Arial Unicode MS"/>
          <w:bCs/>
          <w:sz w:val="24"/>
          <w:szCs w:val="24"/>
        </w:rPr>
        <w:t xml:space="preserve">s pozměňovacími návrhy </w:t>
      </w:r>
      <w:r w:rsidR="005C7F48">
        <w:rPr>
          <w:rFonts w:ascii="Arial Unicode MS" w:eastAsia="Arial Unicode MS" w:hAnsi="Arial Unicode MS" w:cs="Arial Unicode MS"/>
          <w:bCs/>
          <w:sz w:val="24"/>
          <w:szCs w:val="24"/>
        </w:rPr>
        <w:t>přijal výbor a následně plénum EP.</w:t>
      </w:r>
      <w:r w:rsidR="00AA073E">
        <w:rPr>
          <w:rFonts w:ascii="Arial Unicode MS" w:eastAsia="Arial Unicode MS" w:hAnsi="Arial Unicode MS" w:cs="Arial Unicode MS"/>
          <w:bCs/>
          <w:sz w:val="24"/>
          <w:szCs w:val="24"/>
        </w:rPr>
        <w:t xml:space="preserve"> </w:t>
      </w:r>
    </w:p>
    <w:p w14:paraId="5F992273" w14:textId="130AEEA8" w:rsidR="00244DE4" w:rsidRPr="003E7122" w:rsidRDefault="00C72ECB" w:rsidP="00D11938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Zpráva o vyšetřování praní peněz, vyhýbání se daňovým povinnostem a daňových úniků</w:t>
      </w:r>
      <w:r w:rsidR="00BF62D6" w:rsidRPr="00D11938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3E712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5D58F9">
        <w:rPr>
          <w:rFonts w:ascii="Arial Unicode MS" w:eastAsia="Arial Unicode MS" w:hAnsi="Arial Unicode MS" w:cs="Arial Unicode MS"/>
          <w:sz w:val="24"/>
          <w:szCs w:val="24"/>
        </w:rPr>
        <w:t xml:space="preserve">Vyšetřování </w:t>
      </w:r>
      <w:r w:rsidR="00923893">
        <w:rPr>
          <w:rFonts w:ascii="Arial Unicode MS" w:eastAsia="Arial Unicode MS" w:hAnsi="Arial Unicode MS" w:cs="Arial Unicode MS"/>
          <w:sz w:val="24"/>
          <w:szCs w:val="24"/>
        </w:rPr>
        <w:t xml:space="preserve">a aktivity </w:t>
      </w:r>
      <w:r w:rsidR="005D58F9">
        <w:rPr>
          <w:rFonts w:ascii="Arial Unicode MS" w:eastAsia="Arial Unicode MS" w:hAnsi="Arial Unicode MS" w:cs="Arial Unicode MS"/>
          <w:sz w:val="24"/>
          <w:szCs w:val="24"/>
        </w:rPr>
        <w:t>výboru shrnu</w:t>
      </w:r>
      <w:r w:rsidR="00923893">
        <w:rPr>
          <w:rFonts w:ascii="Arial Unicode MS" w:eastAsia="Arial Unicode MS" w:hAnsi="Arial Unicode MS" w:cs="Arial Unicode MS"/>
          <w:sz w:val="24"/>
          <w:szCs w:val="24"/>
        </w:rPr>
        <w:t>je</w:t>
      </w:r>
      <w:r w:rsidR="005D58F9">
        <w:rPr>
          <w:rFonts w:ascii="Arial Unicode MS" w:eastAsia="Arial Unicode MS" w:hAnsi="Arial Unicode MS" w:cs="Arial Unicode MS"/>
          <w:sz w:val="24"/>
          <w:szCs w:val="24"/>
        </w:rPr>
        <w:t> závěrečn</w:t>
      </w:r>
      <w:r w:rsidR="00923893">
        <w:rPr>
          <w:rFonts w:ascii="Arial Unicode MS" w:eastAsia="Arial Unicode MS" w:hAnsi="Arial Unicode MS" w:cs="Arial Unicode MS"/>
          <w:sz w:val="24"/>
          <w:szCs w:val="24"/>
        </w:rPr>
        <w:t>á</w:t>
      </w:r>
      <w:r w:rsidR="005D58F9">
        <w:rPr>
          <w:rFonts w:ascii="Arial Unicode MS" w:eastAsia="Arial Unicode MS" w:hAnsi="Arial Unicode MS" w:cs="Arial Unicode MS"/>
          <w:sz w:val="24"/>
          <w:szCs w:val="24"/>
        </w:rPr>
        <w:t xml:space="preserve"> zpráv</w:t>
      </w:r>
      <w:r w:rsidR="00923893">
        <w:rPr>
          <w:rFonts w:ascii="Arial Unicode MS" w:eastAsia="Arial Unicode MS" w:hAnsi="Arial Unicode MS" w:cs="Arial Unicode MS"/>
          <w:sz w:val="24"/>
          <w:szCs w:val="24"/>
        </w:rPr>
        <w:t>a,</w:t>
      </w:r>
      <w:r w:rsidR="005D58F9">
        <w:rPr>
          <w:rFonts w:ascii="Arial Unicode MS" w:eastAsia="Arial Unicode MS" w:hAnsi="Arial Unicode MS" w:cs="Arial Unicode MS"/>
          <w:sz w:val="24"/>
          <w:szCs w:val="24"/>
        </w:rPr>
        <w:t xml:space="preserve"> která</w:t>
      </w:r>
      <w:r w:rsidR="003B0DFA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odhaluje mezery v</w:t>
      </w:r>
      <w:r w:rsidR="00107109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evropské legislativě a chyby v její implementaci, zejména v oblasti boje proti praní peněz a výměny daňových informací mezi členskými státy</w:t>
      </w:r>
      <w:r w:rsidR="005D58F9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244DE4">
        <w:rPr>
          <w:rFonts w:ascii="Arial Unicode MS" w:eastAsia="Arial Unicode MS" w:hAnsi="Arial Unicode MS" w:cs="Arial Unicode MS"/>
          <w:sz w:val="24"/>
          <w:szCs w:val="24"/>
        </w:rPr>
        <w:t>Na základě této závěrečné zprávy pak byla vydána</w:t>
      </w:r>
      <w:r w:rsidR="00107109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doporučení na možná zlepšení</w:t>
      </w:r>
      <w:r w:rsidR="00244DE4">
        <w:rPr>
          <w:rFonts w:ascii="Arial Unicode MS" w:eastAsia="Arial Unicode MS" w:hAnsi="Arial Unicode MS" w:cs="Arial Unicode MS"/>
          <w:sz w:val="24"/>
          <w:szCs w:val="24"/>
        </w:rPr>
        <w:t xml:space="preserve"> právního rámce v této oblasti</w:t>
      </w:r>
      <w:r w:rsidR="005D58F9">
        <w:rPr>
          <w:rFonts w:ascii="Arial Unicode MS" w:eastAsia="Arial Unicode MS" w:hAnsi="Arial Unicode MS" w:cs="Arial Unicode MS"/>
          <w:sz w:val="24"/>
          <w:szCs w:val="24"/>
        </w:rPr>
        <w:t>, která by měla pomoci této trestné činnosti lépe předcházet</w:t>
      </w:r>
      <w:r w:rsidR="00107109" w:rsidRPr="00D11938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92389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E5538">
        <w:rPr>
          <w:rFonts w:ascii="Arial Unicode MS" w:eastAsia="Arial Unicode MS" w:hAnsi="Arial Unicode MS" w:cs="Arial Unicode MS"/>
          <w:sz w:val="24"/>
          <w:szCs w:val="24"/>
        </w:rPr>
        <w:t xml:space="preserve">Dokument obsahuje </w:t>
      </w:r>
      <w:r w:rsidR="00AE5538" w:rsidRPr="00AE5538">
        <w:rPr>
          <w:rFonts w:ascii="Arial Unicode MS" w:eastAsia="Arial Unicode MS" w:hAnsi="Arial Unicode MS" w:cs="Arial Unicode MS"/>
          <w:b/>
          <w:bCs/>
          <w:sz w:val="24"/>
          <w:szCs w:val="24"/>
        </w:rPr>
        <w:t>celkem 211 doporučení</w:t>
      </w:r>
      <w:r w:rsidR="00AE5538">
        <w:rPr>
          <w:rFonts w:ascii="Arial Unicode MS" w:eastAsia="Arial Unicode MS" w:hAnsi="Arial Unicode MS" w:cs="Arial Unicode MS"/>
          <w:sz w:val="24"/>
          <w:szCs w:val="24"/>
        </w:rPr>
        <w:t xml:space="preserve"> zaměřujících se na boj proti daňovým únikům</w:t>
      </w:r>
      <w:r w:rsidR="00923893">
        <w:rPr>
          <w:rFonts w:ascii="Arial Unicode MS" w:eastAsia="Arial Unicode MS" w:hAnsi="Arial Unicode MS" w:cs="Arial Unicode MS"/>
          <w:sz w:val="24"/>
          <w:szCs w:val="24"/>
        </w:rPr>
        <w:t xml:space="preserve">. Navrhuje </w:t>
      </w:r>
      <w:r w:rsidR="00AE5538">
        <w:rPr>
          <w:rFonts w:ascii="Arial Unicode MS" w:eastAsia="Arial Unicode MS" w:hAnsi="Arial Unicode MS" w:cs="Arial Unicode MS"/>
          <w:sz w:val="24"/>
          <w:szCs w:val="24"/>
        </w:rPr>
        <w:t xml:space="preserve">například </w:t>
      </w:r>
      <w:r w:rsidR="00DF301D">
        <w:rPr>
          <w:rFonts w:ascii="Arial Unicode MS" w:eastAsia="Arial Unicode MS" w:hAnsi="Arial Unicode MS" w:cs="Arial Unicode MS"/>
          <w:sz w:val="24"/>
          <w:szCs w:val="24"/>
        </w:rPr>
        <w:t xml:space="preserve">zavedení pravidelně aktualizovaných, vzájemně propojených a </w:t>
      </w:r>
      <w:r w:rsidR="00923893">
        <w:rPr>
          <w:rFonts w:ascii="Arial Unicode MS" w:eastAsia="Arial Unicode MS" w:hAnsi="Arial Unicode MS" w:cs="Arial Unicode MS"/>
          <w:sz w:val="24"/>
          <w:szCs w:val="24"/>
        </w:rPr>
        <w:t>veřejn</w:t>
      </w:r>
      <w:r w:rsidR="00DF301D">
        <w:rPr>
          <w:rFonts w:ascii="Arial Unicode MS" w:eastAsia="Arial Unicode MS" w:hAnsi="Arial Unicode MS" w:cs="Arial Unicode MS"/>
          <w:sz w:val="24"/>
          <w:szCs w:val="24"/>
        </w:rPr>
        <w:t>ě dostupných registrů vlastníků společností a nadací</w:t>
      </w:r>
      <w:r w:rsidR="00923893">
        <w:rPr>
          <w:rFonts w:ascii="Arial Unicode MS" w:eastAsia="Arial Unicode MS" w:hAnsi="Arial Unicode MS" w:cs="Arial Unicode MS"/>
          <w:sz w:val="24"/>
          <w:szCs w:val="24"/>
        </w:rPr>
        <w:t>, účinnou ochranu oznamovatelů (</w:t>
      </w:r>
      <w:proofErr w:type="spellStart"/>
      <w:r w:rsidR="00923893">
        <w:rPr>
          <w:rFonts w:ascii="Arial Unicode MS" w:eastAsia="Arial Unicode MS" w:hAnsi="Arial Unicode MS" w:cs="Arial Unicode MS"/>
          <w:sz w:val="24"/>
          <w:szCs w:val="24"/>
        </w:rPr>
        <w:t>whistle-blowerů</w:t>
      </w:r>
      <w:proofErr w:type="spellEnd"/>
      <w:r w:rsidR="00DF301D">
        <w:rPr>
          <w:rFonts w:ascii="Arial Unicode MS" w:eastAsia="Arial Unicode MS" w:hAnsi="Arial Unicode MS" w:cs="Arial Unicode MS"/>
          <w:sz w:val="24"/>
          <w:szCs w:val="24"/>
        </w:rPr>
        <w:t>), nová</w:t>
      </w:r>
      <w:r w:rsidR="00923893">
        <w:rPr>
          <w:rFonts w:ascii="Arial Unicode MS" w:eastAsia="Arial Unicode MS" w:hAnsi="Arial Unicode MS" w:cs="Arial Unicode MS"/>
          <w:sz w:val="24"/>
          <w:szCs w:val="24"/>
        </w:rPr>
        <w:t xml:space="preserve"> pravidla pro</w:t>
      </w:r>
      <w:r w:rsidR="00DF301D">
        <w:rPr>
          <w:rFonts w:ascii="Arial Unicode MS" w:eastAsia="Arial Unicode MS" w:hAnsi="Arial Unicode MS" w:cs="Arial Unicode MS"/>
          <w:sz w:val="24"/>
          <w:szCs w:val="24"/>
        </w:rPr>
        <w:t xml:space="preserve"> regulaci</w:t>
      </w:r>
      <w:r w:rsidR="00923893">
        <w:rPr>
          <w:rFonts w:ascii="Arial Unicode MS" w:eastAsia="Arial Unicode MS" w:hAnsi="Arial Unicode MS" w:cs="Arial Unicode MS"/>
          <w:sz w:val="24"/>
          <w:szCs w:val="24"/>
        </w:rPr>
        <w:t xml:space="preserve"> zprostředkovatel</w:t>
      </w:r>
      <w:r w:rsidR="00DF301D">
        <w:rPr>
          <w:rFonts w:ascii="Arial Unicode MS" w:eastAsia="Arial Unicode MS" w:hAnsi="Arial Unicode MS" w:cs="Arial Unicode MS"/>
          <w:sz w:val="24"/>
          <w:szCs w:val="24"/>
        </w:rPr>
        <w:t xml:space="preserve">ů, jako jsou právníci a účetní, </w:t>
      </w:r>
      <w:r w:rsidR="003E21F8">
        <w:rPr>
          <w:rFonts w:ascii="Arial Unicode MS" w:eastAsia="Arial Unicode MS" w:hAnsi="Arial Unicode MS" w:cs="Arial Unicode MS"/>
          <w:sz w:val="24"/>
          <w:szCs w:val="24"/>
        </w:rPr>
        <w:t>z nichž někteří mohou být nápomocni</w:t>
      </w:r>
      <w:r w:rsidR="00DF301D">
        <w:rPr>
          <w:rFonts w:ascii="Arial Unicode MS" w:eastAsia="Arial Unicode MS" w:hAnsi="Arial Unicode MS" w:cs="Arial Unicode MS"/>
          <w:sz w:val="24"/>
          <w:szCs w:val="24"/>
        </w:rPr>
        <w:t xml:space="preserve"> agresivním</w:t>
      </w:r>
      <w:r w:rsidR="003E21F8">
        <w:rPr>
          <w:rFonts w:ascii="Arial Unicode MS" w:eastAsia="Arial Unicode MS" w:hAnsi="Arial Unicode MS" w:cs="Arial Unicode MS"/>
          <w:sz w:val="24"/>
          <w:szCs w:val="24"/>
        </w:rPr>
        <w:t>u</w:t>
      </w:r>
      <w:r w:rsidR="00DF301D">
        <w:rPr>
          <w:rFonts w:ascii="Arial Unicode MS" w:eastAsia="Arial Unicode MS" w:hAnsi="Arial Unicode MS" w:cs="Arial Unicode MS"/>
          <w:sz w:val="24"/>
          <w:szCs w:val="24"/>
        </w:rPr>
        <w:t xml:space="preserve"> daňové</w:t>
      </w:r>
      <w:r w:rsidR="003E21F8">
        <w:rPr>
          <w:rFonts w:ascii="Arial Unicode MS" w:eastAsia="Arial Unicode MS" w:hAnsi="Arial Unicode MS" w:cs="Arial Unicode MS"/>
          <w:sz w:val="24"/>
          <w:szCs w:val="24"/>
        </w:rPr>
        <w:t>mu plánování</w:t>
      </w:r>
      <w:r w:rsidR="00DF301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C3278D1" w14:textId="67A0BDA0" w:rsidR="000425A2" w:rsidRPr="00D11938" w:rsidRDefault="00107109" w:rsidP="00D11938">
      <w:pPr>
        <w:spacing w:line="276" w:lineRule="auto"/>
        <w:jc w:val="both"/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  <w:t>Co dále podporuji?</w:t>
      </w:r>
    </w:p>
    <w:p w14:paraId="30939285" w14:textId="6FBF3CE4" w:rsidR="00420BA0" w:rsidRPr="00D11938" w:rsidRDefault="00420BA0" w:rsidP="00D1193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>Posilování právního rámce v boji proti finanční trestné činnosti</w:t>
      </w:r>
      <w:r w:rsidR="00172EF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B109E97" w14:textId="43BF597C" w:rsidR="00107109" w:rsidRPr="00D11938" w:rsidRDefault="00420BA0" w:rsidP="00D1193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Zavedení </w:t>
      </w: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systému spravedlivého zdanění v EU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, zejména s ohledem na zdanění</w:t>
      </w:r>
      <w:r w:rsidR="003B18DE">
        <w:rPr>
          <w:rFonts w:ascii="Arial Unicode MS" w:eastAsia="Arial Unicode MS" w:hAnsi="Arial Unicode MS" w:cs="Arial Unicode MS"/>
          <w:sz w:val="24"/>
          <w:szCs w:val="24"/>
        </w:rPr>
        <w:t xml:space="preserve"> nadnárodních společností tam, kde vytvářejí zisky, včetně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digitální ekonomiky</w:t>
      </w:r>
      <w:r w:rsidR="00172EF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5D213B8F" w14:textId="2BA8C3CB" w:rsidR="00441F7E" w:rsidRPr="00D11938" w:rsidRDefault="004A028C" w:rsidP="00D1193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>Reformu rámce</w:t>
      </w:r>
      <w:r w:rsidR="00887387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pro DPH a zavedení </w:t>
      </w:r>
      <w:r w:rsidR="00887387" w:rsidRPr="00D11938">
        <w:rPr>
          <w:rFonts w:ascii="Arial Unicode MS" w:eastAsia="Arial Unicode MS" w:hAnsi="Arial Unicode MS" w:cs="Arial Unicode MS"/>
          <w:b/>
          <w:sz w:val="24"/>
          <w:szCs w:val="24"/>
        </w:rPr>
        <w:t>konečného systému DPH</w:t>
      </w:r>
      <w:r w:rsidR="00887387" w:rsidRPr="00D11938">
        <w:rPr>
          <w:rFonts w:ascii="Arial Unicode MS" w:eastAsia="Arial Unicode MS" w:hAnsi="Arial Unicode MS" w:cs="Arial Unicode MS"/>
          <w:sz w:val="24"/>
          <w:szCs w:val="24"/>
        </w:rPr>
        <w:t>, který zamezí podvodům v této oblasti</w:t>
      </w:r>
      <w:r w:rsidR="00172EF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5224834" w14:textId="046C0D87" w:rsidR="00420BA0" w:rsidRPr="00D11938" w:rsidRDefault="00420BA0" w:rsidP="00D11938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Povinnou </w:t>
      </w:r>
      <w:r w:rsidR="00650D87"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automatickou </w:t>
      </w: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výměnu informací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50D87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v oblasti daní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mezi členskými státy</w:t>
      </w:r>
      <w:r w:rsidR="00172EFD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059F0AF1" w14:textId="37030A7B" w:rsidR="00E62C54" w:rsidRPr="00D11938" w:rsidRDefault="001F78F2" w:rsidP="00D11938">
      <w:pPr>
        <w:spacing w:line="276" w:lineRule="auto"/>
        <w:jc w:val="center"/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Práce v Hospodářském a měnovém</w:t>
      </w:r>
      <w:r w:rsidR="00ED31A3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 xml:space="preserve"> výbor</w:t>
      </w:r>
      <w:r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u</w:t>
      </w:r>
      <w:r w:rsidR="00B6410D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 xml:space="preserve"> </w:t>
      </w:r>
      <w:r w:rsidR="009E5AB0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(ECON)</w:t>
      </w:r>
    </w:p>
    <w:p w14:paraId="0434EC0D" w14:textId="17FF027F" w:rsidR="0074542C" w:rsidRDefault="00DD00B1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>V rámci výboru ECON jsem v průběhu uplynulý</w:t>
      </w:r>
      <w:r w:rsidR="00C117F2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ch pěti let pracoval </w:t>
      </w:r>
      <w:r w:rsidR="0057434A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na </w:t>
      </w:r>
      <w:r w:rsidR="00C117F2" w:rsidRPr="00D11938">
        <w:rPr>
          <w:rFonts w:ascii="Arial Unicode MS" w:eastAsia="Arial Unicode MS" w:hAnsi="Arial Unicode MS" w:cs="Arial Unicode MS"/>
          <w:sz w:val="24"/>
          <w:szCs w:val="24"/>
        </w:rPr>
        <w:t>celkem 17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legislativních návrzích, které se </w:t>
      </w:r>
      <w:r w:rsidR="001F78F2" w:rsidRPr="00D11938">
        <w:rPr>
          <w:rFonts w:ascii="Arial Unicode MS" w:eastAsia="Arial Unicode MS" w:hAnsi="Arial Unicode MS" w:cs="Arial Unicode MS"/>
          <w:sz w:val="24"/>
          <w:szCs w:val="24"/>
        </w:rPr>
        <w:t>týkaly zejména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 zajištění finanční stabili</w:t>
      </w:r>
      <w:r w:rsidR="001F78F2" w:rsidRPr="00D11938">
        <w:rPr>
          <w:rFonts w:ascii="Arial Unicode MS" w:eastAsia="Arial Unicode MS" w:hAnsi="Arial Unicode MS" w:cs="Arial Unicode MS"/>
          <w:sz w:val="24"/>
          <w:szCs w:val="24"/>
        </w:rPr>
        <w:t>ty po hospodářské</w:t>
      </w:r>
      <w:r w:rsidR="00D11938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krizi, reforem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v daňové oblasti a budování tzv. unie kapitálových trhů. </w:t>
      </w:r>
      <w:r w:rsidR="00ED5ABD">
        <w:rPr>
          <w:rFonts w:ascii="Arial Unicode MS" w:eastAsia="Arial Unicode MS" w:hAnsi="Arial Unicode MS" w:cs="Arial Unicode MS"/>
          <w:sz w:val="24"/>
          <w:szCs w:val="24"/>
        </w:rPr>
        <w:t xml:space="preserve">Jde o velmi významný výbor a ministr financí Slovenska P. </w:t>
      </w:r>
      <w:proofErr w:type="spellStart"/>
      <w:r w:rsidR="00ED5ABD">
        <w:rPr>
          <w:rFonts w:ascii="Arial Unicode MS" w:eastAsia="Arial Unicode MS" w:hAnsi="Arial Unicode MS" w:cs="Arial Unicode MS"/>
          <w:sz w:val="24"/>
          <w:szCs w:val="24"/>
        </w:rPr>
        <w:t>Kažimír</w:t>
      </w:r>
      <w:proofErr w:type="spellEnd"/>
      <w:r w:rsidR="00ED5ABD">
        <w:rPr>
          <w:rFonts w:ascii="Arial Unicode MS" w:eastAsia="Arial Unicode MS" w:hAnsi="Arial Unicode MS" w:cs="Arial Unicode MS"/>
          <w:sz w:val="24"/>
          <w:szCs w:val="24"/>
        </w:rPr>
        <w:t xml:space="preserve">, který v době </w:t>
      </w:r>
      <w:r w:rsidR="00ED5ABD">
        <w:rPr>
          <w:rFonts w:ascii="Arial Unicode MS" w:eastAsia="Arial Unicode MS" w:hAnsi="Arial Unicode MS" w:cs="Arial Unicode MS"/>
          <w:sz w:val="24"/>
          <w:szCs w:val="24"/>
        </w:rPr>
        <w:lastRenderedPageBreak/>
        <w:t>předsednictví své země vedl</w:t>
      </w:r>
      <w:r w:rsidR="00D47E88">
        <w:rPr>
          <w:rFonts w:ascii="Arial Unicode MS" w:eastAsia="Arial Unicode MS" w:hAnsi="Arial Unicode MS" w:cs="Arial Unicode MS"/>
          <w:sz w:val="24"/>
          <w:szCs w:val="24"/>
        </w:rPr>
        <w:t xml:space="preserve"> a zastupoval</w:t>
      </w:r>
      <w:r w:rsidR="00ED5ABD">
        <w:rPr>
          <w:rFonts w:ascii="Arial Unicode MS" w:eastAsia="Arial Unicode MS" w:hAnsi="Arial Unicode MS" w:cs="Arial Unicode MS"/>
          <w:sz w:val="24"/>
          <w:szCs w:val="24"/>
        </w:rPr>
        <w:t xml:space="preserve"> Radu ministrů financí EU, byl velmi překvapen, že </w:t>
      </w:r>
      <w:r w:rsidR="00D47E88">
        <w:rPr>
          <w:rFonts w:ascii="Arial Unicode MS" w:eastAsia="Arial Unicode MS" w:hAnsi="Arial Unicode MS" w:cs="Arial Unicode MS"/>
          <w:sz w:val="24"/>
          <w:szCs w:val="24"/>
        </w:rPr>
        <w:t>jeden poslanec je zpravodajem své frakce</w:t>
      </w:r>
      <w:r w:rsidR="00D47E88" w:rsidRPr="00D47E8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47E88">
        <w:rPr>
          <w:rFonts w:ascii="Arial Unicode MS" w:eastAsia="Arial Unicode MS" w:hAnsi="Arial Unicode MS" w:cs="Arial Unicode MS"/>
          <w:sz w:val="24"/>
          <w:szCs w:val="24"/>
        </w:rPr>
        <w:t>ke všem třem zásadním legislativním návrhům v té době projednávaným. A nebyl ani z Německa ani z Francie, ale byl ve svém prvním mandátu a dokonce z nečlenské země eurozóny, z ČR.</w:t>
      </w:r>
      <w:r w:rsidR="0074542C">
        <w:rPr>
          <w:rFonts w:ascii="Arial Unicode MS" w:eastAsia="Arial Unicode MS" w:hAnsi="Arial Unicode MS" w:cs="Arial Unicode MS"/>
          <w:sz w:val="24"/>
          <w:szCs w:val="24"/>
        </w:rPr>
        <w:t xml:space="preserve"> Jednalo se o nařízení o prospektu, návrh reformující fondy peněžního trhu a návrh stanovující společná pravidla pro </w:t>
      </w:r>
      <w:proofErr w:type="spellStart"/>
      <w:r w:rsidR="0074542C">
        <w:rPr>
          <w:rFonts w:ascii="Arial Unicode MS" w:eastAsia="Arial Unicode MS" w:hAnsi="Arial Unicode MS" w:cs="Arial Unicode MS"/>
          <w:sz w:val="24"/>
          <w:szCs w:val="24"/>
        </w:rPr>
        <w:t>sekuritizaci</w:t>
      </w:r>
      <w:proofErr w:type="spellEnd"/>
      <w:r w:rsidR="0074542C">
        <w:rPr>
          <w:rFonts w:ascii="Arial Unicode MS" w:eastAsia="Arial Unicode MS" w:hAnsi="Arial Unicode MS" w:cs="Arial Unicode MS"/>
          <w:sz w:val="24"/>
          <w:szCs w:val="24"/>
        </w:rPr>
        <w:t xml:space="preserve"> (více níže).</w:t>
      </w:r>
      <w:r w:rsidR="00D47E88">
        <w:rPr>
          <w:rFonts w:ascii="Arial Unicode MS" w:eastAsia="Arial Unicode MS" w:hAnsi="Arial Unicode MS" w:cs="Arial Unicode MS"/>
          <w:sz w:val="24"/>
          <w:szCs w:val="24"/>
        </w:rPr>
        <w:t xml:space="preserve"> Na všech třech návrzích se nám za slovenského předsednictví zásadně podařilo pokročit, dva zcela přijmout a jeden přijmout na úrovni výboru.</w:t>
      </w:r>
      <w:r w:rsidR="0074542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1F1AC9B7" w14:textId="7F7A8F21" w:rsidR="00DD00B1" w:rsidRPr="00D11938" w:rsidRDefault="00EA4B39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Také jsem měl možnost dvakrát vystoupit na </w:t>
      </w: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prestižním mezinárodním Finančním fóru </w:t>
      </w:r>
      <w:proofErr w:type="spellStart"/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Eurofi</w:t>
      </w:r>
      <w:proofErr w:type="spellEnd"/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v Bratislavě (září 2016) a ve Vídni (září 2018), které je pořádáno ve spolupráci s předsednickou zemí EU a na němž se pravidelně setkává přes 800 zástupců </w:t>
      </w:r>
      <w:r w:rsidR="00650D87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z veřejného i soukromého sektoru. </w:t>
      </w:r>
      <w:r w:rsidR="00172EFD">
        <w:rPr>
          <w:rFonts w:ascii="Arial Unicode MS" w:eastAsia="Arial Unicode MS" w:hAnsi="Arial Unicode MS" w:cs="Arial Unicode MS"/>
          <w:sz w:val="24"/>
          <w:szCs w:val="24"/>
        </w:rPr>
        <w:t>(Pozvání v jiných letec</w:t>
      </w:r>
      <w:r w:rsidR="003B18DE">
        <w:rPr>
          <w:rFonts w:ascii="Arial Unicode MS" w:eastAsia="Arial Unicode MS" w:hAnsi="Arial Unicode MS" w:cs="Arial Unicode MS"/>
          <w:sz w:val="24"/>
          <w:szCs w:val="24"/>
        </w:rPr>
        <w:t>h jsem musel pro zaneprázdnění</w:t>
      </w:r>
      <w:r w:rsidR="00172EFD">
        <w:rPr>
          <w:rFonts w:ascii="Arial Unicode MS" w:eastAsia="Arial Unicode MS" w:hAnsi="Arial Unicode MS" w:cs="Arial Unicode MS"/>
          <w:sz w:val="24"/>
          <w:szCs w:val="24"/>
        </w:rPr>
        <w:t xml:space="preserve"> odmítnout.)</w:t>
      </w:r>
    </w:p>
    <w:p w14:paraId="64731394" w14:textId="4AFC0BA6" w:rsidR="00B46B18" w:rsidRPr="00D11938" w:rsidRDefault="0057434A" w:rsidP="003E7122">
      <w:pPr>
        <w:spacing w:line="276" w:lineRule="auto"/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  <w:t>Příklady legislativy</w:t>
      </w:r>
      <w:r w:rsidR="00650D87" w:rsidRPr="00D11938"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  <w:t>, na které jsem pracoval</w:t>
      </w:r>
    </w:p>
    <w:p w14:paraId="12656F98" w14:textId="4865FB40" w:rsidR="001F78F2" w:rsidRPr="00D11938" w:rsidRDefault="001F78F2" w:rsidP="00D11938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Nařízení o prospektu. </w:t>
      </w:r>
      <w:r w:rsidR="00C44857" w:rsidRPr="00D11938">
        <w:rPr>
          <w:rFonts w:ascii="Arial Unicode MS" w:eastAsia="Arial Unicode MS" w:hAnsi="Arial Unicode MS" w:cs="Arial Unicode MS"/>
          <w:sz w:val="24"/>
          <w:szCs w:val="24"/>
        </w:rPr>
        <w:t>Jako zpravodaj Evropského parlamentu jsem byl zod</w:t>
      </w:r>
      <w:r w:rsidR="003B18DE">
        <w:rPr>
          <w:rFonts w:ascii="Arial Unicode MS" w:eastAsia="Arial Unicode MS" w:hAnsi="Arial Unicode MS" w:cs="Arial Unicode MS"/>
          <w:sz w:val="24"/>
          <w:szCs w:val="24"/>
        </w:rPr>
        <w:t>povědný za vypracování tohoto důležitého</w:t>
      </w:r>
      <w:r w:rsidR="00C44857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návrhu, je</w:t>
      </w:r>
      <w:r w:rsidR="00172EFD">
        <w:rPr>
          <w:rFonts w:ascii="Arial Unicode MS" w:eastAsia="Arial Unicode MS" w:hAnsi="Arial Unicode MS" w:cs="Arial Unicode MS"/>
          <w:sz w:val="24"/>
          <w:szCs w:val="24"/>
        </w:rPr>
        <w:t>n</w:t>
      </w:r>
      <w:r w:rsidR="00C44857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ž aktualizuje a modernizuje </w:t>
      </w:r>
      <w:r w:rsidR="003B18DE">
        <w:rPr>
          <w:rFonts w:ascii="Arial Unicode MS" w:eastAsia="Arial Unicode MS" w:hAnsi="Arial Unicode MS" w:cs="Arial Unicode MS"/>
          <w:sz w:val="24"/>
          <w:szCs w:val="24"/>
        </w:rPr>
        <w:t xml:space="preserve">dřívější </w:t>
      </w:r>
      <w:r w:rsidR="00C44857" w:rsidRPr="00D11938">
        <w:rPr>
          <w:rFonts w:ascii="Arial Unicode MS" w:eastAsia="Arial Unicode MS" w:hAnsi="Arial Unicode MS" w:cs="Arial Unicode MS"/>
          <w:sz w:val="24"/>
          <w:szCs w:val="24"/>
        </w:rPr>
        <w:t>směrnici o prospektu</w:t>
      </w:r>
      <w:r w:rsidR="003B18DE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3B18DE" w:rsidRPr="003B18DE">
        <w:rPr>
          <w:rFonts w:ascii="Arial Unicode MS" w:eastAsia="Arial Unicode MS" w:hAnsi="Arial Unicode MS" w:cs="Arial Unicode MS"/>
          <w:sz w:val="24"/>
          <w:szCs w:val="24"/>
        </w:rPr>
        <w:t>který má být uveřejněn při veřejné nabídce nebo přijetí cenných papírů k obchodování na regulovaném trhu</w:t>
      </w:r>
      <w:r w:rsidR="003B18DE">
        <w:rPr>
          <w:rFonts w:ascii="Arial Unicode MS" w:eastAsia="Arial Unicode MS" w:hAnsi="Arial Unicode MS" w:cs="Arial Unicode MS"/>
          <w:sz w:val="24"/>
          <w:szCs w:val="24"/>
        </w:rPr>
        <w:t>)</w:t>
      </w:r>
      <w:r w:rsidR="00E7138E" w:rsidRPr="00D11938">
        <w:rPr>
          <w:rFonts w:ascii="Arial Unicode MS" w:eastAsia="Arial Unicode MS" w:hAnsi="Arial Unicode MS" w:cs="Arial Unicode MS"/>
          <w:sz w:val="24"/>
          <w:szCs w:val="24"/>
        </w:rPr>
        <w:t>. Tzv. prospekt pro růst EU</w:t>
      </w:r>
      <w:r w:rsidR="00172EFD">
        <w:rPr>
          <w:rFonts w:ascii="Arial Unicode MS" w:eastAsia="Arial Unicode MS" w:hAnsi="Arial Unicode MS" w:cs="Arial Unicode MS"/>
          <w:sz w:val="24"/>
          <w:szCs w:val="24"/>
        </w:rPr>
        <w:t>, který jsem prosadil,</w:t>
      </w:r>
      <w:r w:rsidR="00E7138E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vytváří specifický režim pro malé a střední podniky, které vydávají cenné papíry – zjednodušuje a zlevňuje přístup podniků k</w:t>
      </w:r>
      <w:r w:rsidR="000238AC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 financím </w:t>
      </w:r>
      <w:r w:rsidR="00E7138E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na kapitálových trzích. </w:t>
      </w:r>
      <w:r w:rsidR="00172EFD">
        <w:rPr>
          <w:rFonts w:ascii="Arial Unicode MS" w:eastAsia="Arial Unicode MS" w:hAnsi="Arial Unicode MS" w:cs="Arial Unicode MS"/>
          <w:sz w:val="24"/>
          <w:szCs w:val="24"/>
        </w:rPr>
        <w:t>Celkově n</w:t>
      </w:r>
      <w:r w:rsidR="00E7138E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ařízení tvoří jeden z klíčových prvků na cestě k vytvoření </w:t>
      </w:r>
      <w:r w:rsidR="000238AC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plně funkční </w:t>
      </w:r>
      <w:r w:rsidR="00E7138E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Unie kapitálových trhů, </w:t>
      </w:r>
      <w:r w:rsidR="000238AC" w:rsidRPr="00D11938">
        <w:rPr>
          <w:rFonts w:ascii="Arial Unicode MS" w:eastAsia="Arial Unicode MS" w:hAnsi="Arial Unicode MS" w:cs="Arial Unicode MS"/>
          <w:sz w:val="24"/>
          <w:szCs w:val="24"/>
        </w:rPr>
        <w:t>která odbourá překážky stojící v cestě přeshraničním investicím a usnadňuje přístup podniků</w:t>
      </w:r>
      <w:r w:rsidR="00D11938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m </w:t>
      </w:r>
      <w:r w:rsidR="000238AC" w:rsidRPr="00D11938">
        <w:rPr>
          <w:rFonts w:ascii="Arial Unicode MS" w:eastAsia="Arial Unicode MS" w:hAnsi="Arial Unicode MS" w:cs="Arial Unicode MS"/>
          <w:sz w:val="24"/>
          <w:szCs w:val="24"/>
        </w:rPr>
        <w:t>v EU k financování.</w:t>
      </w:r>
    </w:p>
    <w:p w14:paraId="1A9E94E4" w14:textId="7A4BB67F" w:rsidR="00C1380F" w:rsidRDefault="001F78F2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Poplatky z</w:t>
      </w:r>
      <w:r w:rsidR="00E90F25">
        <w:rPr>
          <w:rFonts w:ascii="Arial Unicode MS" w:eastAsia="Arial Unicode MS" w:hAnsi="Arial Unicode MS" w:cs="Arial Unicode MS"/>
          <w:b/>
          <w:sz w:val="24"/>
          <w:szCs w:val="24"/>
        </w:rPr>
        <w:t>a přeshraniční platby a přepočet</w:t>
      </w: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měny. </w:t>
      </w:r>
      <w:r w:rsidR="003F6805" w:rsidRPr="00D11938">
        <w:rPr>
          <w:rFonts w:ascii="Arial Unicode MS" w:eastAsia="Arial Unicode MS" w:hAnsi="Arial Unicode MS" w:cs="Arial Unicode MS"/>
          <w:sz w:val="24"/>
          <w:szCs w:val="24"/>
        </w:rPr>
        <w:t>Od prosince 2019 začnou platit již některá ustanovení návrhu, který výrazně snižuje poplatky za přeshra</w:t>
      </w:r>
      <w:r w:rsidR="00F14FB8">
        <w:rPr>
          <w:rFonts w:ascii="Arial Unicode MS" w:eastAsia="Arial Unicode MS" w:hAnsi="Arial Unicode MS" w:cs="Arial Unicode MS"/>
          <w:sz w:val="24"/>
          <w:szCs w:val="24"/>
        </w:rPr>
        <w:t>niční platby v eurech a přepočet</w:t>
      </w:r>
      <w:r w:rsidR="003F6805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měny</w:t>
      </w:r>
      <w:r w:rsidR="00887387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ve v</w:t>
      </w:r>
      <w:r w:rsidR="00172EFD">
        <w:rPr>
          <w:rFonts w:ascii="Arial Unicode MS" w:eastAsia="Arial Unicode MS" w:hAnsi="Arial Unicode MS" w:cs="Arial Unicode MS"/>
          <w:sz w:val="24"/>
          <w:szCs w:val="24"/>
        </w:rPr>
        <w:t>šech členských státech EU. Dosud</w:t>
      </w:r>
      <w:r w:rsidR="00887387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se tato pravidla vztahovala pouze na státy platící eurem. Návrh přinese úspory až ve výši 900 milionů </w:t>
      </w:r>
      <w:r w:rsidR="00887387" w:rsidRPr="00D11938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ročně pro uživatele platebních služeb a nejvíce se dotkne malých a středních podniků. Spotřebitelé v České republice se tak budou moci těšit z výrazně nižších poplatků, jež nesmějí překročit výši poplatků za domácí transakce v národní měně. Poplatky v ČR jsou přitom dle studie dopadů Evropské komise aktuálně třetí nejvyšší ze všech devíti států mimo eurozónu. </w:t>
      </w:r>
    </w:p>
    <w:p w14:paraId="242B6347" w14:textId="44BA2B8A" w:rsidR="003E21F8" w:rsidRDefault="003E21F8" w:rsidP="003E21F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Fondy peněžního trhu.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Měl jsem možnost významně ovlivnit návrh zavádějící nová pravidla regulace fondů peněžního trhu tak, aby došlo ke snížení systémových rizik, zranitelnosti finančního sektoru a zajištění odolnosti fondů vůči budoucí finanční krizi. Tyto fondy spravují aktiva ve vý</w:t>
      </w:r>
      <w:r>
        <w:rPr>
          <w:rFonts w:ascii="Arial Unicode MS" w:eastAsia="Arial Unicode MS" w:hAnsi="Arial Unicode MS" w:cs="Arial Unicode MS"/>
          <w:sz w:val="24"/>
          <w:szCs w:val="24"/>
        </w:rPr>
        <w:t>ši přibližně jedné miliardy eur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a jsou využívány zejména pro účely krátkodobého investování přebytečné hotovosti. Finanční krize však odhalila jejich zranitelnost a vyvolala diskuzi o tom, jak zvýšit jejich odolnost. V minulém volebním období Evropského parlamentu nenašla Unie cestu k reformě fondů peněžního trhu a jednání ztroskotala. Současné dohody mezi EP a Radou EU bylo dosa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ženo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v listopadu 2016, a to</w:t>
      </w:r>
      <w:r w:rsidR="00F14FB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díky mému návrhu na vytvoření nového typu hybridního peněžního fondu s nízkou volatilitou (LVNAV). </w:t>
      </w:r>
    </w:p>
    <w:p w14:paraId="4733A1C8" w14:textId="3A0D33F1" w:rsidR="0074542C" w:rsidRPr="00DA26BF" w:rsidRDefault="0074542C" w:rsidP="003E21F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74542C">
        <w:rPr>
          <w:rFonts w:ascii="Arial Unicode MS" w:eastAsia="Arial Unicode MS" w:hAnsi="Arial Unicode MS" w:cs="Arial Unicode MS"/>
          <w:b/>
          <w:sz w:val="24"/>
          <w:szCs w:val="24"/>
        </w:rPr>
        <w:t xml:space="preserve">Společná pravidla pro </w:t>
      </w:r>
      <w:proofErr w:type="spellStart"/>
      <w:r w:rsidRPr="0074542C">
        <w:rPr>
          <w:rFonts w:ascii="Arial Unicode MS" w:eastAsia="Arial Unicode MS" w:hAnsi="Arial Unicode MS" w:cs="Arial Unicode MS"/>
          <w:b/>
          <w:sz w:val="24"/>
          <w:szCs w:val="24"/>
        </w:rPr>
        <w:t>sekuritizaci</w:t>
      </w:r>
      <w:proofErr w:type="spellEnd"/>
      <w:r w:rsidRPr="0074542C"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  <w:r w:rsidR="00DA26BF">
        <w:rPr>
          <w:rFonts w:ascii="Arial Unicode MS" w:eastAsia="Arial Unicode MS" w:hAnsi="Arial Unicode MS" w:cs="Arial Unicode MS"/>
          <w:sz w:val="24"/>
          <w:szCs w:val="24"/>
        </w:rPr>
        <w:t xml:space="preserve">Dalším důležitým stavebním </w:t>
      </w:r>
      <w:r w:rsidR="008D42D3">
        <w:rPr>
          <w:rFonts w:ascii="Arial Unicode MS" w:eastAsia="Arial Unicode MS" w:hAnsi="Arial Unicode MS" w:cs="Arial Unicode MS"/>
          <w:sz w:val="24"/>
          <w:szCs w:val="24"/>
        </w:rPr>
        <w:t>kamenem</w:t>
      </w:r>
      <w:r w:rsidR="00DA26BF">
        <w:rPr>
          <w:rFonts w:ascii="Arial Unicode MS" w:eastAsia="Arial Unicode MS" w:hAnsi="Arial Unicode MS" w:cs="Arial Unicode MS"/>
          <w:sz w:val="24"/>
          <w:szCs w:val="24"/>
        </w:rPr>
        <w:t xml:space="preserve"> budování unie kapitálových trhů je zavedení harmonizovaných pravidel pro </w:t>
      </w:r>
      <w:proofErr w:type="spellStart"/>
      <w:r w:rsidR="00DA26BF">
        <w:rPr>
          <w:rFonts w:ascii="Arial Unicode MS" w:eastAsia="Arial Unicode MS" w:hAnsi="Arial Unicode MS" w:cs="Arial Unicode MS"/>
          <w:sz w:val="24"/>
          <w:szCs w:val="24"/>
        </w:rPr>
        <w:t>sekuritizaci</w:t>
      </w:r>
      <w:proofErr w:type="spellEnd"/>
      <w:r w:rsidR="00DA26BF">
        <w:rPr>
          <w:rFonts w:ascii="Arial Unicode MS" w:eastAsia="Arial Unicode MS" w:hAnsi="Arial Unicode MS" w:cs="Arial Unicode MS"/>
          <w:sz w:val="24"/>
          <w:szCs w:val="24"/>
        </w:rPr>
        <w:t xml:space="preserve">, tedy proces, </w:t>
      </w:r>
      <w:r w:rsidR="00DA26BF" w:rsidRPr="00DA26BF">
        <w:rPr>
          <w:rFonts w:ascii="Arial Unicode MS" w:eastAsia="Arial Unicode MS" w:hAnsi="Arial Unicode MS" w:cs="Arial Unicode MS"/>
          <w:sz w:val="24"/>
          <w:szCs w:val="24"/>
        </w:rPr>
        <w:t>v rámci ně</w:t>
      </w:r>
      <w:r w:rsidR="00DA26BF">
        <w:rPr>
          <w:rFonts w:ascii="Arial Unicode MS" w:eastAsia="Arial Unicode MS" w:hAnsi="Arial Unicode MS" w:cs="Arial Unicode MS"/>
          <w:sz w:val="24"/>
          <w:szCs w:val="24"/>
        </w:rPr>
        <w:t>jž</w:t>
      </w:r>
      <w:r w:rsidR="00DA26BF" w:rsidRPr="00DA26BF">
        <w:rPr>
          <w:rFonts w:ascii="Arial Unicode MS" w:eastAsia="Arial Unicode MS" w:hAnsi="Arial Unicode MS" w:cs="Arial Unicode MS"/>
          <w:sz w:val="24"/>
          <w:szCs w:val="24"/>
        </w:rPr>
        <w:t xml:space="preserve"> věřitel, jako např. banka, „přeměňuje“ vydané úvěry (např. hypotéky) na cenné papíry, které mohou být prodávány investorům</w:t>
      </w:r>
      <w:r w:rsidR="008D42D3">
        <w:rPr>
          <w:rFonts w:ascii="Arial Unicode MS" w:eastAsia="Arial Unicode MS" w:hAnsi="Arial Unicode MS" w:cs="Arial Unicode MS"/>
          <w:sz w:val="24"/>
          <w:szCs w:val="24"/>
        </w:rPr>
        <w:t xml:space="preserve">. Podařilo se nám prosadit kvalitní a transparentní </w:t>
      </w:r>
      <w:r w:rsidR="00DA26BF">
        <w:rPr>
          <w:rFonts w:ascii="Arial Unicode MS" w:eastAsia="Arial Unicode MS" w:hAnsi="Arial Unicode MS" w:cs="Arial Unicode MS"/>
          <w:sz w:val="24"/>
          <w:szCs w:val="24"/>
        </w:rPr>
        <w:t>rámec</w:t>
      </w:r>
      <w:r w:rsidR="008D42D3">
        <w:rPr>
          <w:rFonts w:ascii="Arial Unicode MS" w:eastAsia="Arial Unicode MS" w:hAnsi="Arial Unicode MS" w:cs="Arial Unicode MS"/>
          <w:sz w:val="24"/>
          <w:szCs w:val="24"/>
        </w:rPr>
        <w:t xml:space="preserve"> pro </w:t>
      </w:r>
      <w:proofErr w:type="spellStart"/>
      <w:r w:rsidR="008D42D3">
        <w:rPr>
          <w:rFonts w:ascii="Arial Unicode MS" w:eastAsia="Arial Unicode MS" w:hAnsi="Arial Unicode MS" w:cs="Arial Unicode MS"/>
          <w:sz w:val="24"/>
          <w:szCs w:val="24"/>
        </w:rPr>
        <w:t>sekuritizaci</w:t>
      </w:r>
      <w:proofErr w:type="spellEnd"/>
      <w:r w:rsidR="00DA26BF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8D42D3">
        <w:rPr>
          <w:rFonts w:ascii="Arial Unicode MS" w:eastAsia="Arial Unicode MS" w:hAnsi="Arial Unicode MS" w:cs="Arial Unicode MS"/>
          <w:sz w:val="24"/>
          <w:szCs w:val="24"/>
        </w:rPr>
        <w:t xml:space="preserve"> který</w:t>
      </w:r>
      <w:r w:rsidR="00DA26B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8D42D3">
        <w:rPr>
          <w:rFonts w:ascii="Arial Unicode MS" w:eastAsia="Arial Unicode MS" w:hAnsi="Arial Unicode MS" w:cs="Arial Unicode MS"/>
          <w:sz w:val="24"/>
          <w:szCs w:val="24"/>
        </w:rPr>
        <w:t>podpoří integraci</w:t>
      </w:r>
      <w:r w:rsidR="00DA26BF">
        <w:rPr>
          <w:rFonts w:ascii="Arial Unicode MS" w:eastAsia="Arial Unicode MS" w:hAnsi="Arial Unicode MS" w:cs="Arial Unicode MS"/>
          <w:sz w:val="24"/>
          <w:szCs w:val="24"/>
        </w:rPr>
        <w:t xml:space="preserve"> finanční</w:t>
      </w:r>
      <w:r w:rsidR="008D42D3">
        <w:rPr>
          <w:rFonts w:ascii="Arial Unicode MS" w:eastAsia="Arial Unicode MS" w:hAnsi="Arial Unicode MS" w:cs="Arial Unicode MS"/>
          <w:sz w:val="24"/>
          <w:szCs w:val="24"/>
        </w:rPr>
        <w:t>ch</w:t>
      </w:r>
      <w:r w:rsidR="00DA26BF">
        <w:rPr>
          <w:rFonts w:ascii="Arial Unicode MS" w:eastAsia="Arial Unicode MS" w:hAnsi="Arial Unicode MS" w:cs="Arial Unicode MS"/>
          <w:sz w:val="24"/>
          <w:szCs w:val="24"/>
        </w:rPr>
        <w:t xml:space="preserve"> trhů EU a pomůže diverzifikovat zdroje financování a uvolnit kapitál, což úvěrovým institucím a věřitelům usnadní poskytování úvěrů domácnostem a podnikům. </w:t>
      </w:r>
    </w:p>
    <w:p w14:paraId="2CA7DD20" w14:textId="40AC76C9" w:rsidR="003C652D" w:rsidRPr="00D11938" w:rsidRDefault="00B46B18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Zdanění digitálních společností</w:t>
      </w:r>
      <w:r w:rsidR="00496C76" w:rsidRPr="00D11938">
        <w:rPr>
          <w:rFonts w:ascii="Arial Unicode MS" w:eastAsia="Arial Unicode MS" w:hAnsi="Arial Unicode MS" w:cs="Arial Unicode MS"/>
          <w:sz w:val="24"/>
          <w:szCs w:val="24"/>
        </w:rPr>
        <w:t>. R</w:t>
      </w:r>
      <w:r w:rsidR="00172EFD">
        <w:rPr>
          <w:rFonts w:ascii="Arial Unicode MS" w:eastAsia="Arial Unicode MS" w:hAnsi="Arial Unicode MS" w:cs="Arial Unicode MS"/>
          <w:sz w:val="24"/>
          <w:szCs w:val="24"/>
        </w:rPr>
        <w:t>egulace v této oblasti je na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místě, jelikož současná regulatorní opatření jsou nedostatečná a nezohledňují vlastnosti digitální ekonomiky. Tradiční společn</w:t>
      </w:r>
      <w:r w:rsidR="00172EFD">
        <w:rPr>
          <w:rFonts w:ascii="Arial Unicode MS" w:eastAsia="Arial Unicode MS" w:hAnsi="Arial Unicode MS" w:cs="Arial Unicode MS"/>
          <w:sz w:val="24"/>
          <w:szCs w:val="24"/>
        </w:rPr>
        <w:t>osti jsou daněny průměrnou sazbou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23,3</w:t>
      </w:r>
      <w:r w:rsidR="00F234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%,</w:t>
      </w:r>
      <w:r w:rsidR="00F14FB8">
        <w:rPr>
          <w:rFonts w:ascii="Arial Unicode MS" w:eastAsia="Arial Unicode MS" w:hAnsi="Arial Unicode MS" w:cs="Arial Unicode MS"/>
          <w:sz w:val="24"/>
          <w:szCs w:val="24"/>
        </w:rPr>
        <w:t xml:space="preserve"> zatímco digitální společnosti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9,5</w:t>
      </w:r>
      <w:r w:rsidR="00F234A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%. Je proto třeba </w:t>
      </w:r>
      <w:r w:rsidR="00D845D7">
        <w:rPr>
          <w:rFonts w:ascii="Arial Unicode MS" w:eastAsia="Arial Unicode MS" w:hAnsi="Arial Unicode MS" w:cs="Arial Unicode MS"/>
          <w:sz w:val="24"/>
          <w:szCs w:val="24"/>
        </w:rPr>
        <w:t xml:space="preserve">změn s cílem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zajistit spravedlivé prostředí a spravedlivou hospodářskou soutěž. </w:t>
      </w:r>
    </w:p>
    <w:p w14:paraId="24C99558" w14:textId="6BD683A0" w:rsidR="00B46B18" w:rsidRPr="00D11938" w:rsidRDefault="00B46B18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V této souvislosti Evropská komise představila návrh dvou směrnic, které navrhují dočasné (krátkodobé) a dlouhodobé řešení. V prvním případě Komise navrhuje zavedení prozatímní </w:t>
      </w: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3% daně z digitálních služeb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vztahující se na hlavní digitální aktivity, jež v současné době zdanění nepodléhají. Druhý návrh se soustředí na reformu pravidel zdanění příjmu právnických osob tak, aby zisky digitálních společností byly zdaňovány v místě, kde podniky vykazují největší zisky a významnou interakci s uživateli. </w:t>
      </w:r>
    </w:p>
    <w:p w14:paraId="6B11739F" w14:textId="77777777" w:rsidR="006D0A95" w:rsidRPr="00D11938" w:rsidRDefault="00B46B18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>Pro oba tyto návrhy jsem byl zpravodajem frakce ALDE. Zatímco Evropský parlament své stanovisko k návrhům přijal</w:t>
      </w:r>
      <w:r w:rsidR="003C652D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v prosinci 2018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(v daňové oblasti je pouze konzultován), Rada EU</w:t>
      </w:r>
      <w:r w:rsidR="003C652D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(členské státy)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nebyla doposud </w:t>
      </w:r>
      <w:r w:rsidR="003C652D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schopna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nad návrhy dosáhnout jednomyslné shody, jejíž dosažení je třeba v případě daňové politiky</w:t>
      </w:r>
      <w:r w:rsidR="003C652D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14:paraId="5939DA73" w14:textId="3118E0DE" w:rsidR="005E5C1F" w:rsidRPr="00D11938" w:rsidRDefault="005E5C1F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Posílení dohledu na ústředními protistranami při uzavírání mimoburzovních smluv.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Rostoucí role ústředních protistran, tedy orgánů, jež zprostředkovávají finanční transakce při uzavírání mimoburzovních smluv, si žádá jejich komplexnější dohled v zájmu zachování finanční stability a další integrace trhu. S kolegy jsme proto pracovali na posílení dohledového systému nad těmito instituce</w:t>
      </w:r>
      <w:r w:rsidR="00E90F25">
        <w:rPr>
          <w:rFonts w:ascii="Arial Unicode MS" w:eastAsia="Arial Unicode MS" w:hAnsi="Arial Unicode MS" w:cs="Arial Unicode MS"/>
          <w:sz w:val="24"/>
          <w:szCs w:val="24"/>
        </w:rPr>
        <w:t>mi. Důležitý je tento návrh zejména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v souvislosti s vystoupením Spojeného království z EU, neboť se ústřední protistrany sídlící v tomto státě stanou institucemi třetí země. </w:t>
      </w:r>
    </w:p>
    <w:p w14:paraId="4257B7DF" w14:textId="178D8D7B" w:rsidR="0057434A" w:rsidRPr="00D11938" w:rsidRDefault="0057434A" w:rsidP="00D11938">
      <w:pPr>
        <w:spacing w:line="276" w:lineRule="auto"/>
        <w:jc w:val="both"/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  <w:t>Co dál</w:t>
      </w:r>
      <w:r w:rsidR="00717277" w:rsidRPr="00D11938"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  <w:t>e</w:t>
      </w:r>
      <w:r w:rsidRPr="00D11938"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  <w:t xml:space="preserve"> podporuji</w:t>
      </w:r>
      <w:r w:rsidR="003F6805" w:rsidRPr="00D11938"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  <w:t>?</w:t>
      </w:r>
    </w:p>
    <w:p w14:paraId="789C4362" w14:textId="22778396" w:rsidR="00887387" w:rsidRPr="00D11938" w:rsidRDefault="00887387" w:rsidP="00D1193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Dobudování rámce pro finanční a hospodářskou stabilitu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s důrazem na ochranu daňový poplatníků, klientů bank a investorů</w:t>
      </w:r>
      <w:r w:rsidR="00E90F25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2573A826" w14:textId="5DFFCA49" w:rsidR="00887387" w:rsidRPr="00D11938" w:rsidRDefault="00887387" w:rsidP="00D11938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Prohloubení hospodářské a měnové unie.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Je třeba dokončit bankovní unii a unii kapitálových trhů, posílit koordinaci hospodářských politik a podporu jejich reforem</w:t>
      </w:r>
      <w:r w:rsidR="00E90F25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7E6DC9C8" w14:textId="51676A32" w:rsidR="00F234AF" w:rsidRPr="008D42D3" w:rsidRDefault="003C652D" w:rsidP="008D42D3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Rozhodování kvalifikovanou většinou v daňové </w:t>
      </w:r>
      <w:r w:rsidR="00496C76"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oblasti.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Kvůli neschopnosti členských států dosáhnout jednomyslné shody v</w:t>
      </w:r>
      <w:r w:rsidR="00F234AF">
        <w:rPr>
          <w:rFonts w:ascii="Arial Unicode MS" w:eastAsia="Arial Unicode MS" w:hAnsi="Arial Unicode MS" w:cs="Arial Unicode MS"/>
          <w:sz w:val="24"/>
          <w:szCs w:val="24"/>
        </w:rPr>
        <w:t> daňové politice</w:t>
      </w:r>
      <w:r w:rsidR="00496C76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zahájila Evropská komise diskuzi o reformě rozhodovacího procesu v této oblasti, aby </w:t>
      </w:r>
      <w:r w:rsidR="00496C76" w:rsidRPr="00D11938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nedocházelo k nákladným průtahům a neoptimálním politikám. Navrhuje, aby se v některých oblastech společné daňové politiky EU mohlo postupně cíleně přistoupit k hlasování kvalifikovanou většinou, které se již uplatňuje ve většině ostatních oblastí politiky EU. Tato možnost je uvedena i ve smlouvách o EU. Díky této změně by členské státy mohly rychleji a efektivněji dosahovat kompromisů v daňových otázkách, naplňovat priority EU a </w:t>
      </w:r>
      <w:r w:rsidR="002D2D7A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schválit tak potřebné reformy v této oblasti. </w:t>
      </w:r>
    </w:p>
    <w:p w14:paraId="490A94C7" w14:textId="360999D4" w:rsidR="009E5AB0" w:rsidRPr="00D11938" w:rsidRDefault="001F78F2" w:rsidP="00D11938">
      <w:pPr>
        <w:spacing w:line="276" w:lineRule="auto"/>
        <w:jc w:val="center"/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 xml:space="preserve">Práce ve </w:t>
      </w:r>
      <w:r w:rsidR="00ED31A3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Výbor</w:t>
      </w:r>
      <w:r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u</w:t>
      </w:r>
      <w:r w:rsidR="00B6410D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 xml:space="preserve"> pro občanské svobody, spravedlnost a vnitřní věci</w:t>
      </w:r>
      <w:r w:rsidR="009E5AB0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 xml:space="preserve"> (LIBE)</w:t>
      </w:r>
    </w:p>
    <w:p w14:paraId="43A31496" w14:textId="6D3CAD8E" w:rsidR="003B0DFA" w:rsidRPr="00D11938" w:rsidRDefault="003B0DFA" w:rsidP="00D11938">
      <w:pPr>
        <w:spacing w:line="276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Během svého mandátu jsem působil také ve výboru LIBE, k</w:t>
      </w:r>
      <w:r w:rsidR="00717277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de jsem pracoval na legislativě </w:t>
      </w:r>
      <w:r w:rsidR="00BC350C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týkající se bezpečnosti v EU</w:t>
      </w:r>
      <w:r w:rsidR="00717277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, </w:t>
      </w:r>
      <w:r w:rsidR="00717277" w:rsidRPr="00D11938">
        <w:rPr>
          <w:rFonts w:ascii="Arial Unicode MS" w:eastAsia="Arial Unicode MS" w:hAnsi="Arial Unicode MS" w:cs="Arial Unicode MS"/>
          <w:sz w:val="24"/>
          <w:szCs w:val="24"/>
        </w:rPr>
        <w:t>včetně ochrany vnějších hranic a boje proti terorismu, dále problematikou praní peněz či podvody v oblasti bezhotovostních prostředků.</w:t>
      </w:r>
    </w:p>
    <w:p w14:paraId="3D0BEFD5" w14:textId="41BEF0D3" w:rsidR="00095016" w:rsidRPr="00D11938" w:rsidRDefault="00095016" w:rsidP="00D11938">
      <w:pPr>
        <w:spacing w:line="276" w:lineRule="auto"/>
        <w:jc w:val="both"/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  <w:t xml:space="preserve">Na čem jsem </w:t>
      </w:r>
      <w:r w:rsidR="003E21F8"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  <w:t xml:space="preserve">mimo jiné </w:t>
      </w:r>
      <w:r w:rsidRPr="00D11938"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  <w:t>pracoval</w:t>
      </w:r>
    </w:p>
    <w:p w14:paraId="79600653" w14:textId="72FD1A61" w:rsidR="004805AD" w:rsidRPr="00D11938" w:rsidRDefault="00717277" w:rsidP="00D11938">
      <w:pPr>
        <w:spacing w:line="276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Směrnice o boji proti terorismu.</w:t>
      </w:r>
      <w:r w:rsidR="004805AD" w:rsidRPr="00D11938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 xml:space="preserve"> </w:t>
      </w:r>
      <w:r w:rsidR="004805AD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Efektivní boj proti terorismu je jednou z hlavních priorit současné EU, </w:t>
      </w:r>
      <w:r w:rsidR="009D5027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jež usiluje o vytvoření</w:t>
      </w:r>
      <w:r w:rsidR="00B5573A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bezpečnostní unie a</w:t>
      </w:r>
      <w:r w:rsidR="00E90F25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zajištění bezpečnosti občanů</w:t>
      </w:r>
      <w:r w:rsidR="007E61F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. </w:t>
      </w:r>
      <w:r w:rsidR="004C76D7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Směrnice sjednocuje tresty za teroristickou aktivitu, </w:t>
      </w:r>
      <w:r w:rsidR="00D22DCB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tedy definuje</w:t>
      </w:r>
      <w:r w:rsidR="004C76D7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, která jednání jsou trestným činem, dále sjednocuje zákony související s podněcováním k teroristickému útoku, náborem teroristů či poskytování</w:t>
      </w:r>
      <w:r w:rsidR="00D22DCB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m</w:t>
      </w:r>
      <w:r w:rsidR="004C76D7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jejich výcviku. Směrnice tak usiluje o společný postup</w:t>
      </w:r>
      <w:r w:rsidR="00D22DCB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a</w:t>
      </w:r>
      <w:r w:rsidR="004C76D7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koordin</w:t>
      </w:r>
      <w:r w:rsidR="00D22DCB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aci </w:t>
      </w:r>
      <w:r w:rsidR="004C76D7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právních nástrojů členských států a výměnu informací. </w:t>
      </w:r>
      <w:r w:rsidR="00D22DCB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Během vyjednávání se mi do textu směrnice </w:t>
      </w:r>
      <w:r w:rsidR="003E21F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např. </w:t>
      </w:r>
      <w:r w:rsidR="00D22DCB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podařilo zařadit povinnost členského státu vyšetřovat a informovat ostatní státy o teroristické činnosti tak, aby informace mohly být okamžitě použity a zabránilo se tak případným dalším útokům. </w:t>
      </w:r>
    </w:p>
    <w:p w14:paraId="13CD771D" w14:textId="140C34A2" w:rsidR="00D22DCB" w:rsidRDefault="007F07D6" w:rsidP="00D11938">
      <w:pPr>
        <w:spacing w:line="276" w:lineRule="auto"/>
        <w:jc w:val="both"/>
        <w:rPr>
          <w:rStyle w:val="Hypertextovodkaz"/>
          <w:rFonts w:ascii="Arial Unicode MS" w:eastAsia="Arial Unicode MS" w:hAnsi="Arial Unicode MS" w:cs="Arial Unicode MS"/>
          <w:color w:val="000000" w:themeColor="text1"/>
          <w:sz w:val="24"/>
          <w:szCs w:val="24"/>
          <w:u w:val="none"/>
        </w:rPr>
      </w:pPr>
      <w:r w:rsidRPr="00D11938">
        <w:rPr>
          <w:rStyle w:val="Hypertextovodkaz"/>
          <w:rFonts w:ascii="Arial Unicode MS" w:eastAsia="Arial Unicode MS" w:hAnsi="Arial Unicode MS" w:cs="Arial Unicode MS"/>
          <w:b/>
          <w:color w:val="000000" w:themeColor="text1"/>
          <w:sz w:val="24"/>
          <w:szCs w:val="24"/>
          <w:u w:val="none"/>
        </w:rPr>
        <w:t>Ochrana vnějších hranic</w:t>
      </w:r>
      <w:r w:rsidR="00BF62D6" w:rsidRPr="00D11938">
        <w:rPr>
          <w:rStyle w:val="Hypertextovodkaz"/>
          <w:rFonts w:ascii="Arial Unicode MS" w:eastAsia="Arial Unicode MS" w:hAnsi="Arial Unicode MS" w:cs="Arial Unicode MS"/>
          <w:b/>
          <w:color w:val="000000" w:themeColor="text1"/>
          <w:sz w:val="24"/>
          <w:szCs w:val="24"/>
          <w:u w:val="none"/>
        </w:rPr>
        <w:t>.</w:t>
      </w:r>
      <w:r w:rsidR="00D22DCB" w:rsidRPr="00D11938">
        <w:rPr>
          <w:rStyle w:val="Hypertextovodkaz"/>
          <w:rFonts w:ascii="Arial Unicode MS" w:eastAsia="Arial Unicode MS" w:hAnsi="Arial Unicode MS" w:cs="Arial Unicode MS"/>
          <w:b/>
          <w:color w:val="000000" w:themeColor="text1"/>
          <w:sz w:val="24"/>
          <w:szCs w:val="24"/>
          <w:u w:val="none"/>
        </w:rPr>
        <w:t xml:space="preserve"> </w:t>
      </w:r>
      <w:r w:rsidR="00151513" w:rsidRPr="00D11938">
        <w:rPr>
          <w:rStyle w:val="Hypertextovodkaz"/>
          <w:rFonts w:ascii="Arial Unicode MS" w:eastAsia="Arial Unicode MS" w:hAnsi="Arial Unicode MS" w:cs="Arial Unicode MS"/>
          <w:color w:val="000000" w:themeColor="text1"/>
          <w:sz w:val="24"/>
          <w:szCs w:val="24"/>
          <w:u w:val="none"/>
        </w:rPr>
        <w:t xml:space="preserve">Jako zpravodaj své frakce jsem pracoval na návrhu, jenž umožňuje dočasné pozastavení bezvízového styku se třetími zeměmi, pokud by docházelo k jeho zneužívání. Nový tzv. suspenzivní mechanismus tak umožňuje EU účinněji reagovat na mimořádné situace. </w:t>
      </w:r>
    </w:p>
    <w:p w14:paraId="334BEC44" w14:textId="0F182A97" w:rsidR="002C7854" w:rsidRPr="002C7854" w:rsidRDefault="002C7854" w:rsidP="00D11938">
      <w:pPr>
        <w:spacing w:line="276" w:lineRule="auto"/>
        <w:jc w:val="both"/>
        <w:rPr>
          <w:rStyle w:val="Hypertextovodkaz"/>
          <w:rFonts w:ascii="Arial Unicode MS" w:eastAsia="Arial Unicode MS" w:hAnsi="Arial Unicode MS" w:cs="Arial Unicode MS"/>
          <w:color w:val="auto"/>
          <w:sz w:val="24"/>
          <w:szCs w:val="24"/>
          <w:u w:val="none"/>
        </w:rPr>
      </w:pPr>
      <w:r w:rsidRPr="004A5003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 xml:space="preserve">Zrušení víz pro občany Ukrajiny. </w:t>
      </w:r>
      <w:r w:rsidR="009E2414">
        <w:rPr>
          <w:rFonts w:ascii="Arial Unicode MS" w:eastAsia="Arial Unicode MS" w:hAnsi="Arial Unicode MS" w:cs="Arial Unicode MS"/>
          <w:sz w:val="24"/>
          <w:szCs w:val="24"/>
        </w:rPr>
        <w:t>A</w:t>
      </w:r>
      <w:r>
        <w:rPr>
          <w:rFonts w:ascii="Arial Unicode MS" w:eastAsia="Arial Unicode MS" w:hAnsi="Arial Unicode MS" w:cs="Arial Unicode MS"/>
          <w:sz w:val="24"/>
          <w:szCs w:val="24"/>
        </w:rPr>
        <w:t>ktivně</w:t>
      </w:r>
      <w:r w:rsidR="009E2414">
        <w:rPr>
          <w:rFonts w:ascii="Arial Unicode MS" w:eastAsia="Arial Unicode MS" w:hAnsi="Arial Unicode MS" w:cs="Arial Unicode MS"/>
          <w:sz w:val="24"/>
          <w:szCs w:val="24"/>
        </w:rPr>
        <w:t xml:space="preserve"> jsem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prosazoval zavedení bezvízového režimu pro ukrajinské občany cestující do EU za účelem krátkodobých pobytů. </w:t>
      </w:r>
      <w:r w:rsidR="009E2414">
        <w:rPr>
          <w:rFonts w:ascii="Arial Unicode MS" w:eastAsia="Arial Unicode MS" w:hAnsi="Arial Unicode MS" w:cs="Arial Unicode MS"/>
          <w:sz w:val="24"/>
          <w:szCs w:val="24"/>
        </w:rPr>
        <w:t xml:space="preserve">K chystané bezvízové dohodě mezi EU a Ukrajinou jsem v roce 2016 jednal také s ukrajinským prezidentem Petrem </w:t>
      </w:r>
      <w:proofErr w:type="spellStart"/>
      <w:r w:rsidR="009E2414">
        <w:rPr>
          <w:rFonts w:ascii="Arial Unicode MS" w:eastAsia="Arial Unicode MS" w:hAnsi="Arial Unicode MS" w:cs="Arial Unicode MS"/>
          <w:sz w:val="24"/>
          <w:szCs w:val="24"/>
        </w:rPr>
        <w:t>Porošenkem</w:t>
      </w:r>
      <w:proofErr w:type="spellEnd"/>
      <w:r w:rsidR="009E2414">
        <w:rPr>
          <w:rFonts w:ascii="Arial Unicode MS" w:eastAsia="Arial Unicode MS" w:hAnsi="Arial Unicode MS" w:cs="Arial Unicode MS"/>
          <w:sz w:val="24"/>
          <w:szCs w:val="24"/>
        </w:rPr>
        <w:t>. Dohody v EU se podařilo dosáhnout a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bezvízový režim byl zaveden v červnu 2017. </w:t>
      </w:r>
      <w:r w:rsidR="003E21F8">
        <w:rPr>
          <w:rFonts w:ascii="Arial Unicode MS" w:eastAsia="Arial Unicode MS" w:hAnsi="Arial Unicode MS" w:cs="Arial Unicode MS"/>
          <w:sz w:val="24"/>
          <w:szCs w:val="24"/>
        </w:rPr>
        <w:t xml:space="preserve">Pro </w:t>
      </w:r>
      <w:r w:rsidR="009E2414">
        <w:rPr>
          <w:rFonts w:ascii="Arial Unicode MS" w:eastAsia="Arial Unicode MS" w:hAnsi="Arial Unicode MS" w:cs="Arial Unicode MS"/>
          <w:sz w:val="24"/>
          <w:szCs w:val="24"/>
        </w:rPr>
        <w:t xml:space="preserve">jeho zavedení jsem působil jako zpravodaj své frakce. </w:t>
      </w:r>
    </w:p>
    <w:p w14:paraId="7AE56390" w14:textId="4EDEC7BA" w:rsidR="003D23E0" w:rsidRPr="00D11938" w:rsidRDefault="00DD00B1" w:rsidP="00D11938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Revize </w:t>
      </w:r>
      <w:r w:rsidR="00E90F25">
        <w:rPr>
          <w:rFonts w:ascii="Arial Unicode MS" w:eastAsia="Arial Unicode MS" w:hAnsi="Arial Unicode MS" w:cs="Arial Unicode MS"/>
          <w:b/>
          <w:sz w:val="24"/>
          <w:szCs w:val="24"/>
        </w:rPr>
        <w:t xml:space="preserve">3. a </w:t>
      </w: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4. směrnice o předcházení praní peněz a financování terorismu.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Za jednu z priorit považuji posilování právního rámce v boji proti finančním trestným činům a financování terorismu. Revize posílila pravomoci národních finančních zpravodajských jednotek, které tak budou moci lépe sledovat finanční toky a odhalovat podezřelé transakce. Nová pravidla dále poskytla větší transparentnost, včetně otevřenosti přístupu rejstříku skutečných vlastníků právnickýc</w:t>
      </w:r>
      <w:r w:rsidR="00E90F25">
        <w:rPr>
          <w:rFonts w:ascii="Arial Unicode MS" w:eastAsia="Arial Unicode MS" w:hAnsi="Arial Unicode MS" w:cs="Arial Unicode MS"/>
          <w:sz w:val="24"/>
          <w:szCs w:val="24"/>
        </w:rPr>
        <w:t>h osob a svěřeneckých fondů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6A5782"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14:paraId="383F3C7D" w14:textId="1EE33354" w:rsidR="003D23E0" w:rsidRPr="00D11938" w:rsidRDefault="006A5782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Kontroly peněžní hotovosti.</w:t>
      </w:r>
      <w:r w:rsidR="003D23E0"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02B8D" w:rsidRPr="00D11938">
        <w:rPr>
          <w:rFonts w:ascii="Arial Unicode MS" w:eastAsia="Arial Unicode MS" w:hAnsi="Arial Unicode MS" w:cs="Arial Unicode MS"/>
          <w:sz w:val="24"/>
          <w:szCs w:val="24"/>
        </w:rPr>
        <w:t>Jedná se o důležitý návrh posilující kontrolu</w:t>
      </w:r>
      <w:r w:rsidR="003D23E0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peněžní hotovosti vstupující do Unie nebo ji opouštějící, a to za účelem zabránění financování terorismu, případům praní peněz a další trestné činnosti. </w:t>
      </w:r>
      <w:r w:rsidR="00B02B8D" w:rsidRPr="00D11938">
        <w:rPr>
          <w:rFonts w:ascii="Arial Unicode MS" w:eastAsia="Arial Unicode MS" w:hAnsi="Arial Unicode MS" w:cs="Arial Unicode MS"/>
          <w:sz w:val="24"/>
          <w:szCs w:val="24"/>
        </w:rPr>
        <w:t>Legislativa</w:t>
      </w:r>
      <w:r w:rsidR="003D23E0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modernizuje dříve přijatá pravidla pro kontrolu hotovosti a snaží se do právního rámce promítnout nejnovější vývoj v mezinárodních standardech v oblasti financování terorismu a praní peněz. </w:t>
      </w:r>
      <w:r w:rsidR="00B02B8D" w:rsidRPr="00D11938">
        <w:rPr>
          <w:rFonts w:ascii="Arial Unicode MS" w:eastAsia="Arial Unicode MS" w:hAnsi="Arial Unicode MS" w:cs="Arial Unicode MS"/>
          <w:sz w:val="24"/>
          <w:szCs w:val="24"/>
        </w:rPr>
        <w:t>Návrh dále rozšiřuje definici hotovosti i na další nástroje či způsoby platby, jako jsou například šek</w:t>
      </w:r>
      <w:r w:rsidR="00E90F25">
        <w:rPr>
          <w:rFonts w:ascii="Arial Unicode MS" w:eastAsia="Arial Unicode MS" w:hAnsi="Arial Unicode MS" w:cs="Arial Unicode MS"/>
          <w:sz w:val="24"/>
          <w:szCs w:val="24"/>
        </w:rPr>
        <w:t>y, zlato a předplacené karty.</w:t>
      </w:r>
    </w:p>
    <w:p w14:paraId="3F3132A1" w14:textId="310878F5" w:rsidR="00DD00B1" w:rsidRDefault="006A5782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Potírání podvodů v oblasti bezhotovostních prostředků.</w:t>
      </w:r>
      <w:r w:rsidR="00B02B8D"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02B8D" w:rsidRPr="00D11938">
        <w:rPr>
          <w:rFonts w:ascii="Arial Unicode MS" w:eastAsia="Arial Unicode MS" w:hAnsi="Arial Unicode MS" w:cs="Arial Unicode MS"/>
          <w:sz w:val="24"/>
          <w:szCs w:val="24"/>
        </w:rPr>
        <w:t>Vývoj technologií a rostoucí využívání bezhotovostních plateb skrze online transakce či platby platebními kartami v dnešní době s sebou nese také jistá úskalí v podobě nárůstu podvodů a trestné činnosti v této oblasti. Z toho</w:t>
      </w:r>
      <w:r w:rsidR="00D11938">
        <w:rPr>
          <w:rFonts w:ascii="Arial Unicode MS" w:eastAsia="Arial Unicode MS" w:hAnsi="Arial Unicode MS" w:cs="Arial Unicode MS"/>
          <w:sz w:val="24"/>
          <w:szCs w:val="24"/>
        </w:rPr>
        <w:t>to</w:t>
      </w:r>
      <w:r w:rsidR="00B02B8D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důvodu jsme s kolegy pracovali na návrhu, který modernizuje stávající </w:t>
      </w:r>
      <w:r w:rsidR="006D0A95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pravidla a lépe chrání bezhotovostní platby před podvody a paděláním. Návrh do velké míry reflektuje proces digitalizace, usnadňuje vyšetřování této trestné činnosti, sjednocuje definice trestných činů, také zavádí minimální sazby pro jejich potrestání. Návrh také posiluje spolupráci v oblasti trestního soudnictví v celé EU. </w:t>
      </w:r>
    </w:p>
    <w:p w14:paraId="2D152EEA" w14:textId="790ADC2F" w:rsidR="002C7854" w:rsidRPr="002C7854" w:rsidRDefault="002C7854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C7854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 xml:space="preserve">Zavedení bezvízového styku pro občany Spojeného království po </w:t>
      </w:r>
      <w:proofErr w:type="spellStart"/>
      <w:r w:rsidRPr="002C7854">
        <w:rPr>
          <w:rFonts w:ascii="Arial Unicode MS" w:eastAsia="Arial Unicode MS" w:hAnsi="Arial Unicode MS" w:cs="Arial Unicode MS"/>
          <w:b/>
          <w:bCs/>
          <w:sz w:val="24"/>
          <w:szCs w:val="24"/>
        </w:rPr>
        <w:t>brexitu</w:t>
      </w:r>
      <w:proofErr w:type="spellEnd"/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</w:rPr>
        <w:t>Pracoval jsem také na důležitém návrhu osvobozující občany Spojeného království od vízové povinnosti u krátkodobých pobytů, a to v případě vystoupení země z EU bez dohody. Ve sporu Španělska s Británií o postavení Gibraltaru a odkazu na tento spor v návrhu jsem prosazoval především zavedení kvalitní legislativy, která by nevzbuzovala kontroverze a možné budoucí tenze. Má angažov</w:t>
      </w:r>
      <w:r w:rsidR="009E2414">
        <w:rPr>
          <w:rFonts w:ascii="Arial Unicode MS" w:eastAsia="Arial Unicode MS" w:hAnsi="Arial Unicode MS" w:cs="Arial Unicode MS"/>
          <w:sz w:val="24"/>
          <w:szCs w:val="24"/>
        </w:rPr>
        <w:t xml:space="preserve">anost byla předmětem mediální pozornosti v evropských médiích. </w:t>
      </w:r>
    </w:p>
    <w:p w14:paraId="78234DC7" w14:textId="77777777" w:rsidR="005F4533" w:rsidRPr="00D11938" w:rsidRDefault="005F4533" w:rsidP="005F4533">
      <w:pPr>
        <w:spacing w:line="276" w:lineRule="auto"/>
        <w:jc w:val="both"/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  <w:t>Co dále podporuji?</w:t>
      </w:r>
    </w:p>
    <w:p w14:paraId="1F71BFC7" w14:textId="029A66C0" w:rsidR="005F4533" w:rsidRPr="00C3008B" w:rsidRDefault="00C3008B" w:rsidP="005F453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3008B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Upevňování mezinárodní bezpečnosti. </w:t>
      </w:r>
      <w:r>
        <w:rPr>
          <w:rFonts w:ascii="Arial Unicode MS" w:eastAsia="Arial Unicode MS" w:hAnsi="Arial Unicode MS" w:cs="Arial Unicode MS"/>
          <w:sz w:val="24"/>
          <w:szCs w:val="24"/>
        </w:rPr>
        <w:t>Úkolem EU je přispívat k zajištění bezpečnost</w:t>
      </w:r>
      <w:r w:rsidR="006E17E5">
        <w:rPr>
          <w:rFonts w:ascii="Arial Unicode MS" w:eastAsia="Arial Unicode MS" w:hAnsi="Arial Unicode MS" w:cs="Arial Unicode MS"/>
          <w:sz w:val="24"/>
          <w:szCs w:val="24"/>
        </w:rPr>
        <w:t>i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nejen v Evropě, ale také ve světě. Řešení konfliktů a zachování míru jsou toho nedílno</w:t>
      </w:r>
      <w:r w:rsidR="003E21F8">
        <w:rPr>
          <w:rFonts w:ascii="Arial Unicode MS" w:eastAsia="Arial Unicode MS" w:hAnsi="Arial Unicode MS" w:cs="Arial Unicode MS"/>
          <w:sz w:val="24"/>
          <w:szCs w:val="24"/>
        </w:rPr>
        <w:t xml:space="preserve">u součástí. Zde jsem se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angažoval v případě </w:t>
      </w:r>
      <w:r w:rsidR="004A5003">
        <w:rPr>
          <w:rFonts w:ascii="Arial Unicode MS" w:eastAsia="Arial Unicode MS" w:hAnsi="Arial Unicode MS" w:cs="Arial Unicode MS"/>
          <w:sz w:val="24"/>
          <w:szCs w:val="24"/>
        </w:rPr>
        <w:t xml:space="preserve">konfliktu a zhoršení humanitární </w:t>
      </w:r>
      <w:r w:rsidR="004A5003" w:rsidRPr="004A5003">
        <w:rPr>
          <w:rFonts w:ascii="Arial Unicode MS" w:eastAsia="Arial Unicode MS" w:hAnsi="Arial Unicode MS" w:cs="Arial Unicode MS"/>
          <w:b/>
          <w:bCs/>
          <w:sz w:val="24"/>
          <w:szCs w:val="24"/>
        </w:rPr>
        <w:t>situace v Jižním Súdánu</w:t>
      </w:r>
      <w:r w:rsidR="006E17E5">
        <w:rPr>
          <w:rFonts w:ascii="Arial Unicode MS" w:eastAsia="Arial Unicode MS" w:hAnsi="Arial Unicode MS" w:cs="Arial Unicode MS"/>
          <w:sz w:val="24"/>
          <w:szCs w:val="24"/>
        </w:rPr>
        <w:t xml:space="preserve">, kde jsem aktivně podporoval zapojení EU do mediačního procesu </w:t>
      </w:r>
      <w:r w:rsidR="004A5003">
        <w:rPr>
          <w:rFonts w:ascii="Arial Unicode MS" w:eastAsia="Arial Unicode MS" w:hAnsi="Arial Unicode MS" w:cs="Arial Unicode MS"/>
          <w:sz w:val="24"/>
          <w:szCs w:val="24"/>
        </w:rPr>
        <w:t xml:space="preserve">a humanitární pomoci </w:t>
      </w:r>
      <w:r w:rsidR="006E17E5">
        <w:rPr>
          <w:rFonts w:ascii="Arial Unicode MS" w:eastAsia="Arial Unicode MS" w:hAnsi="Arial Unicode MS" w:cs="Arial Unicode MS"/>
          <w:sz w:val="24"/>
          <w:szCs w:val="24"/>
        </w:rPr>
        <w:t>a zavedení cílených sankcí proti válčícím stranám v Jižním Súdánu.</w:t>
      </w:r>
      <w:r w:rsidR="003E21F8">
        <w:rPr>
          <w:rFonts w:ascii="Arial Unicode MS" w:eastAsia="Arial Unicode MS" w:hAnsi="Arial Unicode MS" w:cs="Arial Unicode MS"/>
          <w:sz w:val="24"/>
          <w:szCs w:val="24"/>
        </w:rPr>
        <w:t xml:space="preserve"> Úspěšně jsem se také zasazoval</w:t>
      </w:r>
      <w:r w:rsidR="004A5003">
        <w:rPr>
          <w:rFonts w:ascii="Arial Unicode MS" w:eastAsia="Arial Unicode MS" w:hAnsi="Arial Unicode MS" w:cs="Arial Unicode MS"/>
          <w:sz w:val="24"/>
          <w:szCs w:val="24"/>
        </w:rPr>
        <w:t xml:space="preserve"> o svolání</w:t>
      </w:r>
      <w:r w:rsidR="006E17E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A5003">
        <w:rPr>
          <w:rFonts w:ascii="Arial Unicode MS" w:eastAsia="Arial Unicode MS" w:hAnsi="Arial Unicode MS" w:cs="Arial Unicode MS"/>
          <w:sz w:val="24"/>
          <w:szCs w:val="24"/>
        </w:rPr>
        <w:t xml:space="preserve">nové dárcovské konference pro Jižní Súdán. </w:t>
      </w:r>
    </w:p>
    <w:p w14:paraId="7229C978" w14:textId="54B0AE66" w:rsidR="00B6410D" w:rsidRPr="00D11938" w:rsidRDefault="001F78F2" w:rsidP="00D11938">
      <w:pPr>
        <w:spacing w:line="276" w:lineRule="auto"/>
        <w:jc w:val="center"/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 xml:space="preserve">Práce ve </w:t>
      </w:r>
      <w:r w:rsidR="00ED31A3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Zvláštní</w:t>
      </w:r>
      <w:r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m</w:t>
      </w:r>
      <w:r w:rsidR="00ED31A3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 xml:space="preserve"> výbor</w:t>
      </w:r>
      <w:r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u</w:t>
      </w:r>
      <w:r w:rsidR="00B6410D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 xml:space="preserve"> pro terorismus </w:t>
      </w:r>
      <w:r w:rsidR="009E5AB0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(TERR)</w:t>
      </w:r>
    </w:p>
    <w:p w14:paraId="730726B9" w14:textId="72E9F97D" w:rsidR="000D5A98" w:rsidRPr="00D11938" w:rsidRDefault="003C2C02" w:rsidP="00D11938">
      <w:pPr>
        <w:spacing w:line="276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Výbor zahájil svou činnost v září 2017 s mandátem na 12 měsíců a jeho úkolem bylo mimo jiné </w:t>
      </w:r>
      <w:r w:rsidRPr="00D11938">
        <w:rPr>
          <w:rFonts w:ascii="Arial Unicode MS" w:eastAsia="Arial Unicode MS" w:hAnsi="Arial Unicode MS" w:cs="Arial Unicode MS"/>
          <w:b/>
          <w:color w:val="000000" w:themeColor="text1"/>
          <w:sz w:val="24"/>
          <w:szCs w:val="24"/>
        </w:rPr>
        <w:t>posoudit rozsah hrozby terorismu v EU a navrhnout vhodná opatření</w:t>
      </w:r>
      <w:r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, která by členským státům umožnila vyšetřit a stíhat trestné činy související s terorismem a předchá</w:t>
      </w:r>
      <w:r w:rsid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zet </w:t>
      </w:r>
      <w:r w:rsidR="007E61FC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jim </w:t>
      </w:r>
      <w:r w:rsid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 obecně zvýšila</w:t>
      </w:r>
      <w:r w:rsidR="004C76D7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odolnost EU vůči teroristickým hrozbám</w:t>
      </w:r>
      <w:r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 Krom toho se činnost výboru zaměřil</w:t>
      </w:r>
      <w:r w:rsidR="002117C8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 také na analýzu chyb, které umožnily nedávné teroristické útoky v Evropě, zjišťování nedostatků při sdílení informací mezi členskými státy a nedo</w:t>
      </w:r>
      <w:r w:rsidR="000D5A98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statků v případě policejní spolupráce.</w:t>
      </w:r>
    </w:p>
    <w:p w14:paraId="2C3F7983" w14:textId="12F53D2D" w:rsidR="00E97647" w:rsidRPr="00D11938" w:rsidRDefault="000D5A98" w:rsidP="00D11938">
      <w:pPr>
        <w:spacing w:line="276" w:lineRule="auto"/>
        <w:jc w:val="both"/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Práce výboru vyvrcholila přijetím závěrečné zprávy, která identifikuje praktické a legislativní nedostatky v souvislosti s bojem proti terorismu v EU a vydává doporučení obsahující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>návrhy opatření a iniciativ vedoucí k odstranění těchto nedostatků a zefektivnění boje proti terorismu v EU</w:t>
      </w:r>
      <w:r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.</w:t>
      </w:r>
      <w:r w:rsidR="004F38E0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K posílení boje proti terorismu na úrovni EU je </w:t>
      </w:r>
      <w:r w:rsidR="004F38E0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lastRenderedPageBreak/>
        <w:t>třeba zajistit efektivní výměnu informací mezi členskými státy, zejména co se týká propojenosti databází, posílit ochr</w:t>
      </w:r>
      <w:r w:rsid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anu vnějších hranic, účinně předcházet</w:t>
      </w:r>
      <w:r w:rsidR="004F38E0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radikalizaci</w:t>
      </w:r>
      <w:r w:rsid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>,</w:t>
      </w:r>
      <w:r w:rsidR="004F38E0" w:rsidRPr="00D11938">
        <w:rPr>
          <w:rFonts w:ascii="Arial Unicode MS" w:eastAsia="Arial Unicode MS" w:hAnsi="Arial Unicode MS" w:cs="Arial Unicode MS"/>
          <w:color w:val="000000" w:themeColor="text1"/>
          <w:sz w:val="24"/>
          <w:szCs w:val="24"/>
        </w:rPr>
        <w:t xml:space="preserve"> zejména prostřednictvím online platforem a zabránit financování terorismu.  </w:t>
      </w:r>
    </w:p>
    <w:p w14:paraId="7500D30E" w14:textId="3BADC383" w:rsidR="002117C8" w:rsidRPr="00D11938" w:rsidRDefault="002117C8" w:rsidP="00D11938">
      <w:pPr>
        <w:spacing w:line="276" w:lineRule="auto"/>
        <w:jc w:val="both"/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color w:val="2F5496" w:themeColor="accent5" w:themeShade="BF"/>
          <w:sz w:val="24"/>
          <w:szCs w:val="24"/>
        </w:rPr>
        <w:t>Co jsem prosazoval?</w:t>
      </w:r>
    </w:p>
    <w:p w14:paraId="6E53557A" w14:textId="735DE175" w:rsidR="002117C8" w:rsidRPr="00D11938" w:rsidRDefault="002117C8" w:rsidP="00D11938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Arial Unicode MS" w:eastAsia="Arial Unicode MS" w:hAnsi="Arial Unicode MS" w:cs="Arial Unicode MS"/>
          <w:color w:val="2F5496" w:themeColor="accent5" w:themeShade="BF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>V případě spolupráce v této oblasti považuji za</w:t>
      </w:r>
      <w:r w:rsidR="004F38E0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klíčové zajistit spolehlivou,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efektivní </w:t>
      </w:r>
      <w:r w:rsidR="004F38E0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a zejména rychlou 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výměnu informací </w:t>
      </w:r>
      <w:r w:rsidR="00E97647" w:rsidRPr="00D11938">
        <w:rPr>
          <w:rFonts w:ascii="Arial Unicode MS" w:eastAsia="Arial Unicode MS" w:hAnsi="Arial Unicode MS" w:cs="Arial Unicode MS"/>
          <w:sz w:val="24"/>
          <w:szCs w:val="24"/>
        </w:rPr>
        <w:t>mezi členskými státy, která významně přispěje k předcházení teroristických činů v</w:t>
      </w:r>
      <w:r w:rsidR="00B5573A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 Evropě. Jedním z důležitých kroků je zajistit propojenost již existujících systémů. </w:t>
      </w:r>
    </w:p>
    <w:p w14:paraId="00333742" w14:textId="4544B40F" w:rsidR="00B6410D" w:rsidRPr="00D11938" w:rsidRDefault="003B0DFA" w:rsidP="00D11938">
      <w:pPr>
        <w:spacing w:line="276" w:lineRule="auto"/>
        <w:jc w:val="center"/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 xml:space="preserve">V čele </w:t>
      </w:r>
      <w:r w:rsidR="00ED31A3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Delegace</w:t>
      </w:r>
      <w:r w:rsidR="00802419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 xml:space="preserve"> pro vztahy s</w:t>
      </w:r>
      <w:r w:rsidR="009E5AB0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 Japonskem (D-JP)</w:t>
      </w:r>
    </w:p>
    <w:p w14:paraId="683C93C4" w14:textId="69588462" w:rsidR="00053176" w:rsidRPr="00D11938" w:rsidRDefault="00EE230D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>V roli předsedy Delegace pro vztahy s</w:t>
      </w:r>
      <w:r w:rsidR="00802419" w:rsidRPr="00D11938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Japonskem </w:t>
      </w:r>
      <w:r w:rsidR="00D845D7">
        <w:rPr>
          <w:rFonts w:ascii="Arial Unicode MS" w:eastAsia="Arial Unicode MS" w:hAnsi="Arial Unicode MS" w:cs="Arial Unicode MS"/>
          <w:sz w:val="24"/>
          <w:szCs w:val="24"/>
        </w:rPr>
        <w:t>jsem měl možnost podporovat jednání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o uzavření největší a nejm</w:t>
      </w:r>
      <w:r w:rsidR="00802419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odernější </w:t>
      </w:r>
      <w:r w:rsidR="00D845D7">
        <w:rPr>
          <w:rFonts w:ascii="Arial Unicode MS" w:eastAsia="Arial Unicode MS" w:hAnsi="Arial Unicode MS" w:cs="Arial Unicode MS"/>
          <w:sz w:val="24"/>
          <w:szCs w:val="24"/>
        </w:rPr>
        <w:t xml:space="preserve">dvoustranné </w:t>
      </w:r>
      <w:r w:rsidR="00802419" w:rsidRPr="00D11938">
        <w:rPr>
          <w:rFonts w:ascii="Arial Unicode MS" w:eastAsia="Arial Unicode MS" w:hAnsi="Arial Unicode MS" w:cs="Arial Unicode MS"/>
          <w:sz w:val="24"/>
          <w:szCs w:val="24"/>
        </w:rPr>
        <w:t>obchodní dohody</w:t>
      </w:r>
      <w:r w:rsidR="00DA0A82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97233" w:rsidRPr="00D11938">
        <w:rPr>
          <w:rFonts w:ascii="Arial Unicode MS" w:eastAsia="Arial Unicode MS" w:hAnsi="Arial Unicode MS" w:cs="Arial Unicode MS"/>
          <w:sz w:val="24"/>
          <w:szCs w:val="24"/>
        </w:rPr>
        <w:t>v historii,</w:t>
      </w:r>
      <w:r w:rsidR="00DA0A82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tzv. Dohody o hospodářském partnerství (EPA)</w:t>
      </w:r>
      <w:r w:rsidR="00497233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mezi EU a Japonskem</w:t>
      </w:r>
      <w:r w:rsidR="00DA0A82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, která vytváří </w:t>
      </w:r>
      <w:r w:rsidR="00DA0A82" w:rsidRPr="00D11938">
        <w:rPr>
          <w:rFonts w:ascii="Arial Unicode MS" w:eastAsia="Arial Unicode MS" w:hAnsi="Arial Unicode MS" w:cs="Arial Unicode MS"/>
          <w:b/>
          <w:sz w:val="24"/>
          <w:szCs w:val="24"/>
        </w:rPr>
        <w:t>největší zónu volného obchodu na světě</w:t>
      </w:r>
      <w:r w:rsidR="00802419" w:rsidRPr="00D11938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  <w:r w:rsidR="00DA0A82"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7E61FC">
        <w:rPr>
          <w:rFonts w:ascii="Arial Unicode MS" w:eastAsia="Arial Unicode MS" w:hAnsi="Arial Unicode MS" w:cs="Arial Unicode MS"/>
          <w:sz w:val="24"/>
          <w:szCs w:val="24"/>
        </w:rPr>
        <w:t>Mimo to obě strany uzavřely</w:t>
      </w:r>
      <w:r w:rsidR="00DA0A82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také významnou Dohodu o strategickém partnerství (SPA). </w:t>
      </w:r>
      <w:r w:rsidR="00962354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Jednání o uzavření těchto dohod probíhala </w:t>
      </w:r>
      <w:r w:rsidR="006C7861" w:rsidRPr="00D11938">
        <w:rPr>
          <w:rFonts w:ascii="Arial Unicode MS" w:eastAsia="Arial Unicode MS" w:hAnsi="Arial Unicode MS" w:cs="Arial Unicode MS"/>
          <w:sz w:val="24"/>
          <w:szCs w:val="24"/>
        </w:rPr>
        <w:t>od roku 2013, k jejich podpisu došlo v červenci 2018 na summitu EU-Japonsko.</w:t>
      </w:r>
    </w:p>
    <w:p w14:paraId="25033E4D" w14:textId="1961E774" w:rsidR="007E0D98" w:rsidRPr="00D11938" w:rsidRDefault="00D7040F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V kontextu obchodní politiky EU se v případě </w:t>
      </w: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Dohody o hospodářském partnerství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jedná o nejdůležitější dvoustrannou obchodní dohodu, kterou doposud EU uzavřela, neboť pokrývá téměř jednu třetinu světového HDP, téměř 40 % světového obchodu a více než 600 milionů lidí. </w:t>
      </w:r>
      <w:r w:rsidR="00FE67C9">
        <w:rPr>
          <w:rFonts w:ascii="Arial Unicode MS" w:eastAsia="Arial Unicode MS" w:hAnsi="Arial Unicode MS" w:cs="Arial Unicode MS"/>
          <w:sz w:val="24"/>
          <w:szCs w:val="24"/>
        </w:rPr>
        <w:t>Dohoda dále odstraňuje cla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u více než 90 % vývozu z EU do Japonska</w:t>
      </w:r>
      <w:r w:rsidR="00FE67C9">
        <w:rPr>
          <w:rFonts w:ascii="Arial Unicode MS" w:eastAsia="Arial Unicode MS" w:hAnsi="Arial Unicode MS" w:cs="Arial Unicode MS"/>
          <w:sz w:val="24"/>
          <w:szCs w:val="24"/>
        </w:rPr>
        <w:t>, měla by vést k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vytvoření nových pracovních míst a navýšení exportu až o 33 %.</w:t>
      </w:r>
      <w:r w:rsidR="007E61F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1256C" w:rsidRPr="00D11938">
        <w:rPr>
          <w:rFonts w:ascii="Arial Unicode MS" w:eastAsia="Arial Unicode MS" w:hAnsi="Arial Unicode MS" w:cs="Arial Unicode MS"/>
          <w:sz w:val="24"/>
          <w:szCs w:val="24"/>
        </w:rPr>
        <w:t>Příležitost zde bude i z hlediska možné účasti evropských společ</w:t>
      </w:r>
      <w:r w:rsidR="00FE67C9">
        <w:rPr>
          <w:rFonts w:ascii="Arial Unicode MS" w:eastAsia="Arial Unicode MS" w:hAnsi="Arial Unicode MS" w:cs="Arial Unicode MS"/>
          <w:sz w:val="24"/>
          <w:szCs w:val="24"/>
        </w:rPr>
        <w:t>ností</w:t>
      </w:r>
      <w:r w:rsidR="0001256C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na japonských veřejných zakázkách. </w:t>
      </w:r>
    </w:p>
    <w:p w14:paraId="13198937" w14:textId="2CA88AA9" w:rsidR="00D7040F" w:rsidRPr="00D11938" w:rsidRDefault="00D7040F" w:rsidP="00D11938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Dohoda o strategickém partnerství</w:t>
      </w:r>
      <w:r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posiluje vzájemné vztahy a rozšiřuje spolupráci ve více než 40 oblastech, jako je ochrana lidských práv a základních svobod, zahraniční a bezpečnostní politika, změny klimatu či spolupráce v oblasti vědy a výzkumu.  </w:t>
      </w:r>
    </w:p>
    <w:p w14:paraId="72BB1DB4" w14:textId="2231A66D" w:rsidR="00E90F25" w:rsidRPr="00D11938" w:rsidRDefault="00717277" w:rsidP="00E90F25">
      <w:p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sz w:val="24"/>
          <w:szCs w:val="24"/>
        </w:rPr>
        <w:lastRenderedPageBreak/>
        <w:t>Z pozice předsedy delegace jsem</w:t>
      </w:r>
      <w:r w:rsidR="00E05866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E90F25">
        <w:rPr>
          <w:rFonts w:ascii="Arial Unicode MS" w:eastAsia="Arial Unicode MS" w:hAnsi="Arial Unicode MS" w:cs="Arial Unicode MS"/>
          <w:sz w:val="24"/>
          <w:szCs w:val="24"/>
        </w:rPr>
        <w:t xml:space="preserve">předsedal jejím zasedáním a </w:t>
      </w:r>
      <w:r w:rsidR="00E05866" w:rsidRPr="00D11938">
        <w:rPr>
          <w:rFonts w:ascii="Arial Unicode MS" w:eastAsia="Arial Unicode MS" w:hAnsi="Arial Unicode MS" w:cs="Arial Unicode MS"/>
          <w:sz w:val="24"/>
          <w:szCs w:val="24"/>
        </w:rPr>
        <w:t>společně se svým japonským protějškem předsedal každoročnímu meziparlamentnímu</w:t>
      </w:r>
      <w:r w:rsidR="00054824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 setkání </w:t>
      </w:r>
      <w:r w:rsidR="00E90F25">
        <w:rPr>
          <w:rFonts w:ascii="Arial Unicode MS" w:eastAsia="Arial Unicode MS" w:hAnsi="Arial Unicode MS" w:cs="Arial Unicode MS"/>
          <w:sz w:val="24"/>
          <w:szCs w:val="24"/>
        </w:rPr>
        <w:t>EU-Japonsko</w:t>
      </w:r>
      <w:r w:rsidR="00DA0A82" w:rsidRPr="00D11938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E90F25" w:rsidRPr="00E90F25">
        <w:rPr>
          <w:rFonts w:ascii="Arial Unicode MS" w:eastAsia="Arial Unicode MS" w:hAnsi="Arial Unicode MS" w:cs="Arial Unicode MS"/>
          <w:sz w:val="24"/>
          <w:szCs w:val="24"/>
        </w:rPr>
        <w:t>V čele</w:t>
      </w:r>
      <w:r w:rsidR="00E90F25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90F25" w:rsidRPr="00E90F25">
        <w:rPr>
          <w:rFonts w:ascii="Arial Unicode MS" w:eastAsia="Arial Unicode MS" w:hAnsi="Arial Unicode MS" w:cs="Arial Unicode MS"/>
          <w:sz w:val="24"/>
          <w:szCs w:val="24"/>
        </w:rPr>
        <w:t xml:space="preserve">delegace EP v Japonsku jsem </w:t>
      </w:r>
      <w:r w:rsidR="00E90F25">
        <w:rPr>
          <w:rFonts w:ascii="Arial Unicode MS" w:eastAsia="Arial Unicode MS" w:hAnsi="Arial Unicode MS" w:cs="Arial Unicode MS"/>
          <w:sz w:val="24"/>
          <w:szCs w:val="24"/>
        </w:rPr>
        <w:t xml:space="preserve">několikrát </w:t>
      </w:r>
      <w:r w:rsidR="00E90F25" w:rsidRPr="00E90F25">
        <w:rPr>
          <w:rFonts w:ascii="Arial Unicode MS" w:eastAsia="Arial Unicode MS" w:hAnsi="Arial Unicode MS" w:cs="Arial Unicode MS"/>
          <w:sz w:val="24"/>
          <w:szCs w:val="24"/>
        </w:rPr>
        <w:t>vedl jednání s předsedy obou komor japonského parlamentu a ministry japonské vlády, včetně ministra zahraničních věcí a obrany.</w:t>
      </w:r>
      <w:r w:rsidR="00E90F25"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14:paraId="3EC0739D" w14:textId="5FB81707" w:rsidR="00AA23EA" w:rsidRPr="00D11938" w:rsidRDefault="00E90F25" w:rsidP="00E90F25">
      <w:pPr>
        <w:tabs>
          <w:tab w:val="center" w:pos="4536"/>
          <w:tab w:val="left" w:pos="6672"/>
        </w:tabs>
        <w:spacing w:line="276" w:lineRule="auto"/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ab/>
      </w:r>
      <w:r w:rsidR="003B0DFA" w:rsidRPr="00D11938"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>Má aktivita v číslech</w:t>
      </w:r>
      <w:r>
        <w:rPr>
          <w:rFonts w:ascii="Arial Unicode MS" w:eastAsia="Arial Unicode MS" w:hAnsi="Arial Unicode MS" w:cs="Arial Unicode MS"/>
          <w:b/>
          <w:color w:val="F60064"/>
          <w:sz w:val="24"/>
          <w:szCs w:val="24"/>
        </w:rPr>
        <w:tab/>
      </w:r>
    </w:p>
    <w:p w14:paraId="318E9E99" w14:textId="26473EE0" w:rsidR="003B0DFA" w:rsidRPr="00D11938" w:rsidRDefault="003B0DFA" w:rsidP="00D11938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20. nejvlivnější poslanec (ze 751) Evropského parlamentu (2. </w:t>
      </w:r>
      <w:r w:rsidR="00D845D7">
        <w:rPr>
          <w:rFonts w:ascii="Arial Unicode MS" w:eastAsia="Arial Unicode MS" w:hAnsi="Arial Unicode MS" w:cs="Arial Unicode MS"/>
          <w:b/>
          <w:sz w:val="24"/>
          <w:szCs w:val="24"/>
        </w:rPr>
        <w:t xml:space="preserve">z ČR) podle </w:t>
      </w: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prestižního </w:t>
      </w:r>
      <w:r w:rsidR="00D845D7">
        <w:rPr>
          <w:rFonts w:ascii="Arial Unicode MS" w:eastAsia="Arial Unicode MS" w:hAnsi="Arial Unicode MS" w:cs="Arial Unicode MS"/>
          <w:b/>
          <w:sz w:val="24"/>
          <w:szCs w:val="24"/>
        </w:rPr>
        <w:t xml:space="preserve">analytického </w:t>
      </w: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serveru </w:t>
      </w:r>
      <w:proofErr w:type="spellStart"/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Vote</w:t>
      </w:r>
      <w:proofErr w:type="spellEnd"/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Watch</w:t>
      </w:r>
      <w:proofErr w:type="spellEnd"/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14:paraId="7D1F8F11" w14:textId="025DCF55" w:rsidR="00AA23EA" w:rsidRPr="00D11938" w:rsidRDefault="0086650B" w:rsidP="00D1193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2 zprávy jako zpravodaj (z toho 1 legislativní)</w:t>
      </w:r>
    </w:p>
    <w:p w14:paraId="73944A78" w14:textId="5E451F95" w:rsidR="0086650B" w:rsidRPr="00D11938" w:rsidRDefault="0086650B" w:rsidP="00D1193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30 zpráv jako stínový zpravodaj/zpravodaj frakce ALDE (z toho 24 legislativní)</w:t>
      </w:r>
    </w:p>
    <w:p w14:paraId="7F078F1E" w14:textId="729327A2" w:rsidR="0086650B" w:rsidRPr="00D11938" w:rsidRDefault="0086650B" w:rsidP="00D1193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 xml:space="preserve">13 stanovisek jako zpravodaj </w:t>
      </w:r>
    </w:p>
    <w:p w14:paraId="60577CBD" w14:textId="3F19A998" w:rsidR="0086650B" w:rsidRPr="00D11938" w:rsidRDefault="0086650B" w:rsidP="00D1193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11938">
        <w:rPr>
          <w:rFonts w:ascii="Arial Unicode MS" w:eastAsia="Arial Unicode MS" w:hAnsi="Arial Unicode MS" w:cs="Arial Unicode MS"/>
          <w:b/>
          <w:sz w:val="24"/>
          <w:szCs w:val="24"/>
        </w:rPr>
        <w:t>39 stanovisek jako stínový zpravodaj (z toho 1 legislativní)</w:t>
      </w:r>
    </w:p>
    <w:p w14:paraId="042763F3" w14:textId="7FC42550" w:rsidR="00083E13" w:rsidRPr="00F85317" w:rsidRDefault="00C9571D" w:rsidP="00D1193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75</w:t>
      </w:r>
      <w:r w:rsidR="003E7122" w:rsidRPr="00F85317">
        <w:rPr>
          <w:rFonts w:ascii="Arial Unicode MS" w:eastAsia="Arial Unicode MS" w:hAnsi="Arial Unicode MS" w:cs="Arial Unicode MS"/>
          <w:b/>
          <w:sz w:val="24"/>
          <w:szCs w:val="24"/>
        </w:rPr>
        <w:t xml:space="preserve"> neformálních vyjednávání neboli </w:t>
      </w:r>
      <w:r w:rsidR="0086650B" w:rsidRPr="00F85317">
        <w:rPr>
          <w:rFonts w:ascii="Arial Unicode MS" w:eastAsia="Arial Unicode MS" w:hAnsi="Arial Unicode MS" w:cs="Arial Unicode MS"/>
          <w:b/>
          <w:sz w:val="24"/>
          <w:szCs w:val="24"/>
        </w:rPr>
        <w:t xml:space="preserve">trialogů, kterých </w:t>
      </w:r>
      <w:r w:rsidR="004A028C" w:rsidRPr="00F85317">
        <w:rPr>
          <w:rFonts w:ascii="Arial Unicode MS" w:eastAsia="Arial Unicode MS" w:hAnsi="Arial Unicode MS" w:cs="Arial Unicode MS"/>
          <w:b/>
          <w:sz w:val="24"/>
          <w:szCs w:val="24"/>
        </w:rPr>
        <w:t xml:space="preserve">jsem se </w:t>
      </w:r>
      <w:r w:rsidR="0086650B" w:rsidRPr="00F85317">
        <w:rPr>
          <w:rFonts w:ascii="Arial Unicode MS" w:eastAsia="Arial Unicode MS" w:hAnsi="Arial Unicode MS" w:cs="Arial Unicode MS"/>
          <w:b/>
          <w:sz w:val="24"/>
          <w:szCs w:val="24"/>
        </w:rPr>
        <w:t>zúčastnil</w:t>
      </w:r>
      <w:r w:rsidR="003B2D25" w:rsidRPr="00F8531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5A5A8F5F" w14:textId="4CDC3A98" w:rsidR="003E21F8" w:rsidRPr="00F85317" w:rsidRDefault="00660B65" w:rsidP="00660B6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85317">
        <w:rPr>
          <w:rFonts w:ascii="Arial Unicode MS" w:eastAsia="Arial Unicode MS" w:hAnsi="Arial Unicode MS" w:cs="Arial Unicode MS"/>
          <w:b/>
          <w:sz w:val="24"/>
          <w:szCs w:val="24"/>
        </w:rPr>
        <w:t>6</w:t>
      </w:r>
      <w:r w:rsidR="003E21F8" w:rsidRPr="00F85317">
        <w:rPr>
          <w:rFonts w:ascii="Arial Unicode MS" w:eastAsia="Arial Unicode MS" w:hAnsi="Arial Unicode MS" w:cs="Arial Unicode MS"/>
          <w:b/>
          <w:sz w:val="24"/>
          <w:szCs w:val="24"/>
        </w:rPr>
        <w:t>. místo EP (ze 751), první z ČR co se týká účast</w:t>
      </w:r>
      <w:r w:rsidRPr="00F85317">
        <w:rPr>
          <w:rFonts w:ascii="Arial Unicode MS" w:eastAsia="Arial Unicode MS" w:hAnsi="Arial Unicode MS" w:cs="Arial Unicode MS"/>
          <w:b/>
          <w:sz w:val="24"/>
          <w:szCs w:val="24"/>
        </w:rPr>
        <w:t>i na jmenovitém hlasování (99,71</w:t>
      </w:r>
      <w:r w:rsidR="003E21F8" w:rsidRPr="00F85317">
        <w:rPr>
          <w:rFonts w:ascii="Arial Unicode MS" w:eastAsia="Arial Unicode MS" w:hAnsi="Arial Unicode MS" w:cs="Arial Unicode MS"/>
          <w:b/>
          <w:sz w:val="24"/>
          <w:szCs w:val="24"/>
        </w:rPr>
        <w:t xml:space="preserve">% účast, </w:t>
      </w:r>
      <w:r w:rsidRPr="00F85317">
        <w:rPr>
          <w:rFonts w:ascii="Arial Unicode MS" w:eastAsia="Arial Unicode MS" w:hAnsi="Arial Unicode MS" w:cs="Arial Unicode MS"/>
          <w:b/>
          <w:sz w:val="24"/>
          <w:szCs w:val="24"/>
        </w:rPr>
        <w:t xml:space="preserve">10222 </w:t>
      </w:r>
      <w:r w:rsidR="003E21F8" w:rsidRPr="00F85317">
        <w:rPr>
          <w:rFonts w:ascii="Arial Unicode MS" w:eastAsia="Arial Unicode MS" w:hAnsi="Arial Unicode MS" w:cs="Arial Unicode MS"/>
          <w:b/>
          <w:sz w:val="24"/>
          <w:szCs w:val="24"/>
        </w:rPr>
        <w:t>hlasování)</w:t>
      </w:r>
    </w:p>
    <w:p w14:paraId="37C0AE7D" w14:textId="69BE3582" w:rsidR="00660B65" w:rsidRPr="00F85317" w:rsidRDefault="00660B65" w:rsidP="00660B6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85317">
        <w:rPr>
          <w:rFonts w:ascii="Arial Unicode MS" w:eastAsia="Arial Unicode MS" w:hAnsi="Arial Unicode MS" w:cs="Arial Unicode MS"/>
          <w:b/>
          <w:sz w:val="24"/>
          <w:szCs w:val="24"/>
        </w:rPr>
        <w:t>98% účast na plenárních zasedání (274 z 278)</w:t>
      </w:r>
    </w:p>
    <w:p w14:paraId="2EDC5DBB" w14:textId="65282F80" w:rsidR="00C0699E" w:rsidRPr="00F85317" w:rsidRDefault="00C0699E" w:rsidP="00660B65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F85317">
        <w:rPr>
          <w:rFonts w:ascii="Arial Unicode MS" w:eastAsia="Arial Unicode MS" w:hAnsi="Arial Unicode MS" w:cs="Arial Unicode MS"/>
          <w:b/>
          <w:sz w:val="24"/>
          <w:szCs w:val="24"/>
        </w:rPr>
        <w:t>1938 předložených pozměňovacích návrhů</w:t>
      </w:r>
    </w:p>
    <w:p w14:paraId="2EFF2FD4" w14:textId="6458BA50" w:rsidR="00882BA2" w:rsidRPr="00083E13" w:rsidRDefault="00660B65" w:rsidP="00D11938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 Unicode MS" w:eastAsia="Arial Unicode MS" w:hAnsi="Arial Unicode MS" w:cs="Arial Unicode MS"/>
          <w:color w:val="FF0000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O mých</w:t>
      </w:r>
      <w:r w:rsidR="00072ED9" w:rsidRPr="00083E13">
        <w:rPr>
          <w:rFonts w:ascii="Arial Unicode MS" w:eastAsia="Arial Unicode MS" w:hAnsi="Arial Unicode MS" w:cs="Arial Unicode MS"/>
          <w:sz w:val="24"/>
          <w:szCs w:val="24"/>
        </w:rPr>
        <w:t xml:space="preserve"> aktivitách často referovala </w:t>
      </w:r>
      <w:r w:rsidR="003E21F8">
        <w:rPr>
          <w:rFonts w:ascii="Arial Unicode MS" w:eastAsia="Arial Unicode MS" w:hAnsi="Arial Unicode MS" w:cs="Arial Unicode MS"/>
          <w:sz w:val="24"/>
          <w:szCs w:val="24"/>
        </w:rPr>
        <w:t xml:space="preserve">evropská i </w:t>
      </w:r>
      <w:r w:rsidR="00072ED9" w:rsidRPr="00083E13">
        <w:rPr>
          <w:rFonts w:ascii="Arial Unicode MS" w:eastAsia="Arial Unicode MS" w:hAnsi="Arial Unicode MS" w:cs="Arial Unicode MS"/>
          <w:sz w:val="24"/>
          <w:szCs w:val="24"/>
        </w:rPr>
        <w:t>světová média, v některých letech to bylo</w:t>
      </w:r>
      <w:r w:rsidR="00A908F3">
        <w:rPr>
          <w:rFonts w:ascii="Arial Unicode MS" w:eastAsia="Arial Unicode MS" w:hAnsi="Arial Unicode MS" w:cs="Arial Unicode MS"/>
          <w:sz w:val="24"/>
          <w:szCs w:val="24"/>
        </w:rPr>
        <w:t xml:space="preserve"> i</w:t>
      </w:r>
      <w:r w:rsidR="00072ED9" w:rsidRPr="00083E1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908F3">
        <w:rPr>
          <w:rFonts w:ascii="Arial Unicode MS" w:eastAsia="Arial Unicode MS" w:hAnsi="Arial Unicode MS" w:cs="Arial Unicode MS"/>
          <w:b/>
          <w:bCs/>
          <w:sz w:val="24"/>
          <w:szCs w:val="24"/>
        </w:rPr>
        <w:t>více než</w:t>
      </w:r>
      <w:r w:rsidR="00072ED9" w:rsidRPr="00083E1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083E13" w:rsidRPr="00083E1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500 </w:t>
      </w:r>
      <w:r w:rsidR="00072ED9" w:rsidRPr="00083E13">
        <w:rPr>
          <w:rFonts w:ascii="Arial Unicode MS" w:eastAsia="Arial Unicode MS" w:hAnsi="Arial Unicode MS" w:cs="Arial Unicode MS"/>
          <w:b/>
          <w:bCs/>
          <w:sz w:val="24"/>
          <w:szCs w:val="24"/>
        </w:rPr>
        <w:t>článků a jiných informací</w:t>
      </w:r>
      <w:r w:rsidR="00072ED9" w:rsidRPr="00083E13">
        <w:rPr>
          <w:rFonts w:ascii="Arial Unicode MS" w:eastAsia="Arial Unicode MS" w:hAnsi="Arial Unicode MS" w:cs="Arial Unicode MS"/>
          <w:sz w:val="24"/>
          <w:szCs w:val="24"/>
        </w:rPr>
        <w:t>, včetně rozhovoru v </w:t>
      </w:r>
      <w:proofErr w:type="spellStart"/>
      <w:r w:rsidR="00072ED9" w:rsidRPr="00083E13">
        <w:rPr>
          <w:rFonts w:ascii="Arial Unicode MS" w:eastAsia="Arial Unicode MS" w:hAnsi="Arial Unicode MS" w:cs="Arial Unicode MS"/>
          <w:sz w:val="24"/>
          <w:szCs w:val="24"/>
        </w:rPr>
        <w:t>Le</w:t>
      </w:r>
      <w:proofErr w:type="spellEnd"/>
      <w:r w:rsidR="00072ED9" w:rsidRPr="00083E13">
        <w:rPr>
          <w:rFonts w:ascii="Arial Unicode MS" w:eastAsia="Arial Unicode MS" w:hAnsi="Arial Unicode MS" w:cs="Arial Unicode MS"/>
          <w:sz w:val="24"/>
          <w:szCs w:val="24"/>
        </w:rPr>
        <w:t xml:space="preserve"> Monde či citací v </w:t>
      </w:r>
      <w:proofErr w:type="spellStart"/>
      <w:r w:rsidR="00072ED9" w:rsidRPr="00083E13">
        <w:rPr>
          <w:rFonts w:ascii="Arial Unicode MS" w:eastAsia="Arial Unicode MS" w:hAnsi="Arial Unicode MS" w:cs="Arial Unicode MS"/>
          <w:sz w:val="24"/>
          <w:szCs w:val="24"/>
        </w:rPr>
        <w:t>The</w:t>
      </w:r>
      <w:proofErr w:type="spellEnd"/>
      <w:r w:rsidR="00072ED9" w:rsidRPr="00083E13">
        <w:rPr>
          <w:rFonts w:ascii="Arial Unicode MS" w:eastAsia="Arial Unicode MS" w:hAnsi="Arial Unicode MS" w:cs="Arial Unicode MS"/>
          <w:sz w:val="24"/>
          <w:szCs w:val="24"/>
        </w:rPr>
        <w:t xml:space="preserve"> New Y</w:t>
      </w:r>
      <w:r w:rsidR="008F21AA">
        <w:rPr>
          <w:rFonts w:ascii="Arial Unicode MS" w:eastAsia="Arial Unicode MS" w:hAnsi="Arial Unicode MS" w:cs="Arial Unicode MS"/>
          <w:sz w:val="24"/>
          <w:szCs w:val="24"/>
        </w:rPr>
        <w:t xml:space="preserve">ork </w:t>
      </w:r>
      <w:proofErr w:type="spellStart"/>
      <w:r w:rsidR="008F21AA">
        <w:rPr>
          <w:rFonts w:ascii="Arial Unicode MS" w:eastAsia="Arial Unicode MS" w:hAnsi="Arial Unicode MS" w:cs="Arial Unicode MS"/>
          <w:sz w:val="24"/>
          <w:szCs w:val="24"/>
        </w:rPr>
        <w:t>Times</w:t>
      </w:r>
      <w:proofErr w:type="spellEnd"/>
      <w:r w:rsidR="008F21AA">
        <w:rPr>
          <w:rFonts w:ascii="Arial Unicode MS" w:eastAsia="Arial Unicode MS" w:hAnsi="Arial Unicode MS" w:cs="Arial Unicode MS"/>
          <w:sz w:val="24"/>
          <w:szCs w:val="24"/>
        </w:rPr>
        <w:t xml:space="preserve"> (česká média se na počtu</w:t>
      </w:r>
      <w:r w:rsidR="00072ED9" w:rsidRPr="00083E13">
        <w:rPr>
          <w:rFonts w:ascii="Arial Unicode MS" w:eastAsia="Arial Unicode MS" w:hAnsi="Arial Unicode MS" w:cs="Arial Unicode MS"/>
          <w:sz w:val="24"/>
          <w:szCs w:val="24"/>
        </w:rPr>
        <w:t xml:space="preserve"> podílela zhruba čtvrtinou).</w:t>
      </w:r>
      <w:bookmarkStart w:id="0" w:name="_GoBack"/>
      <w:bookmarkEnd w:id="0"/>
    </w:p>
    <w:sectPr w:rsidR="00882BA2" w:rsidRPr="00083E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D8FE9" w14:textId="77777777" w:rsidR="00E80F49" w:rsidRDefault="00E80F49" w:rsidP="000B798E">
      <w:pPr>
        <w:spacing w:after="0" w:line="240" w:lineRule="auto"/>
      </w:pPr>
      <w:r>
        <w:separator/>
      </w:r>
    </w:p>
  </w:endnote>
  <w:endnote w:type="continuationSeparator" w:id="0">
    <w:p w14:paraId="35012D4D" w14:textId="77777777" w:rsidR="00E80F49" w:rsidRDefault="00E80F49" w:rsidP="000B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73251"/>
      <w:docPartObj>
        <w:docPartGallery w:val="Page Numbers (Bottom of Page)"/>
        <w:docPartUnique/>
      </w:docPartObj>
    </w:sdtPr>
    <w:sdtEndPr/>
    <w:sdtContent>
      <w:p w14:paraId="38CD8356" w14:textId="56A70E7F" w:rsidR="003E7122" w:rsidRDefault="003E712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71D">
          <w:rPr>
            <w:noProof/>
          </w:rPr>
          <w:t>11</w:t>
        </w:r>
        <w:r>
          <w:fldChar w:fldCharType="end"/>
        </w:r>
      </w:p>
    </w:sdtContent>
  </w:sdt>
  <w:p w14:paraId="2D80268B" w14:textId="77777777" w:rsidR="003E7122" w:rsidRDefault="003E71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C953C" w14:textId="77777777" w:rsidR="00E80F49" w:rsidRDefault="00E80F49" w:rsidP="000B798E">
      <w:pPr>
        <w:spacing w:after="0" w:line="240" w:lineRule="auto"/>
      </w:pPr>
      <w:r>
        <w:separator/>
      </w:r>
    </w:p>
  </w:footnote>
  <w:footnote w:type="continuationSeparator" w:id="0">
    <w:p w14:paraId="62E22931" w14:textId="77777777" w:rsidR="00E80F49" w:rsidRDefault="00E80F49" w:rsidP="000B7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3BD"/>
    <w:multiLevelType w:val="hybridMultilevel"/>
    <w:tmpl w:val="E4D4467A"/>
    <w:lvl w:ilvl="0" w:tplc="8C2052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45397"/>
    <w:multiLevelType w:val="hybridMultilevel"/>
    <w:tmpl w:val="14FA1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2773"/>
    <w:multiLevelType w:val="hybridMultilevel"/>
    <w:tmpl w:val="6768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7648"/>
    <w:multiLevelType w:val="hybridMultilevel"/>
    <w:tmpl w:val="04B02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3160D"/>
    <w:multiLevelType w:val="hybridMultilevel"/>
    <w:tmpl w:val="27008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227F"/>
    <w:multiLevelType w:val="hybridMultilevel"/>
    <w:tmpl w:val="4D9488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21FAB"/>
    <w:multiLevelType w:val="hybridMultilevel"/>
    <w:tmpl w:val="D1924962"/>
    <w:lvl w:ilvl="0" w:tplc="8C2052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96795"/>
    <w:multiLevelType w:val="hybridMultilevel"/>
    <w:tmpl w:val="7AFA2F60"/>
    <w:lvl w:ilvl="0" w:tplc="BFE43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F23ED"/>
    <w:multiLevelType w:val="hybridMultilevel"/>
    <w:tmpl w:val="B67C5890"/>
    <w:lvl w:ilvl="0" w:tplc="8C20525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A7506C"/>
    <w:multiLevelType w:val="hybridMultilevel"/>
    <w:tmpl w:val="23780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E2CD1"/>
    <w:multiLevelType w:val="hybridMultilevel"/>
    <w:tmpl w:val="203849B2"/>
    <w:lvl w:ilvl="0" w:tplc="8C205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72342"/>
    <w:multiLevelType w:val="hybridMultilevel"/>
    <w:tmpl w:val="B8CE43AE"/>
    <w:lvl w:ilvl="0" w:tplc="8C205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648A8"/>
    <w:multiLevelType w:val="hybridMultilevel"/>
    <w:tmpl w:val="80D4DB72"/>
    <w:lvl w:ilvl="0" w:tplc="8C205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22BCE"/>
    <w:multiLevelType w:val="hybridMultilevel"/>
    <w:tmpl w:val="E200A9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A2A33"/>
    <w:multiLevelType w:val="hybridMultilevel"/>
    <w:tmpl w:val="5B84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B3"/>
    <w:rsid w:val="0001256C"/>
    <w:rsid w:val="000238AC"/>
    <w:rsid w:val="00032000"/>
    <w:rsid w:val="000332E6"/>
    <w:rsid w:val="000425A2"/>
    <w:rsid w:val="00053176"/>
    <w:rsid w:val="00054824"/>
    <w:rsid w:val="00072ED9"/>
    <w:rsid w:val="00081A93"/>
    <w:rsid w:val="00083E13"/>
    <w:rsid w:val="00095016"/>
    <w:rsid w:val="000A045E"/>
    <w:rsid w:val="000A224E"/>
    <w:rsid w:val="000A4C80"/>
    <w:rsid w:val="000B798E"/>
    <w:rsid w:val="000C64D2"/>
    <w:rsid w:val="000D4A8F"/>
    <w:rsid w:val="000D5A98"/>
    <w:rsid w:val="000F481A"/>
    <w:rsid w:val="00107109"/>
    <w:rsid w:val="0011206A"/>
    <w:rsid w:val="00112224"/>
    <w:rsid w:val="0015058B"/>
    <w:rsid w:val="00151513"/>
    <w:rsid w:val="00172EFD"/>
    <w:rsid w:val="00192AD9"/>
    <w:rsid w:val="001A0909"/>
    <w:rsid w:val="001B4E7F"/>
    <w:rsid w:val="001F78F2"/>
    <w:rsid w:val="002117C8"/>
    <w:rsid w:val="00236F85"/>
    <w:rsid w:val="00244DE4"/>
    <w:rsid w:val="00267E47"/>
    <w:rsid w:val="002763B5"/>
    <w:rsid w:val="0028407D"/>
    <w:rsid w:val="002A36D7"/>
    <w:rsid w:val="002B3E47"/>
    <w:rsid w:val="002C2979"/>
    <w:rsid w:val="002C7854"/>
    <w:rsid w:val="002D2D7A"/>
    <w:rsid w:val="00303E21"/>
    <w:rsid w:val="0030684C"/>
    <w:rsid w:val="003831B4"/>
    <w:rsid w:val="003972DE"/>
    <w:rsid w:val="003B0DFA"/>
    <w:rsid w:val="003B18DE"/>
    <w:rsid w:val="003B2D25"/>
    <w:rsid w:val="003B34BA"/>
    <w:rsid w:val="003C2C02"/>
    <w:rsid w:val="003C652D"/>
    <w:rsid w:val="003D23E0"/>
    <w:rsid w:val="003E21F8"/>
    <w:rsid w:val="003E7122"/>
    <w:rsid w:val="003F25D8"/>
    <w:rsid w:val="003F6805"/>
    <w:rsid w:val="00420BA0"/>
    <w:rsid w:val="0042596E"/>
    <w:rsid w:val="00433ED8"/>
    <w:rsid w:val="00441F7E"/>
    <w:rsid w:val="00442F79"/>
    <w:rsid w:val="004572AF"/>
    <w:rsid w:val="004805AD"/>
    <w:rsid w:val="00496C76"/>
    <w:rsid w:val="00497233"/>
    <w:rsid w:val="004A028C"/>
    <w:rsid w:val="004A2818"/>
    <w:rsid w:val="004A5003"/>
    <w:rsid w:val="004C2BD4"/>
    <w:rsid w:val="004C76D7"/>
    <w:rsid w:val="004D320D"/>
    <w:rsid w:val="004E5E18"/>
    <w:rsid w:val="004F38E0"/>
    <w:rsid w:val="00507456"/>
    <w:rsid w:val="005077BE"/>
    <w:rsid w:val="0051288E"/>
    <w:rsid w:val="00521694"/>
    <w:rsid w:val="00534D36"/>
    <w:rsid w:val="005427B3"/>
    <w:rsid w:val="0054683D"/>
    <w:rsid w:val="00552593"/>
    <w:rsid w:val="0057434A"/>
    <w:rsid w:val="005950C7"/>
    <w:rsid w:val="00596CA8"/>
    <w:rsid w:val="005B7DAE"/>
    <w:rsid w:val="005C6FAA"/>
    <w:rsid w:val="005C7F48"/>
    <w:rsid w:val="005D58F9"/>
    <w:rsid w:val="005E5C1F"/>
    <w:rsid w:val="005F4533"/>
    <w:rsid w:val="005F51D7"/>
    <w:rsid w:val="006031C0"/>
    <w:rsid w:val="006154A9"/>
    <w:rsid w:val="00650D87"/>
    <w:rsid w:val="00654B67"/>
    <w:rsid w:val="00660B65"/>
    <w:rsid w:val="00680465"/>
    <w:rsid w:val="00684588"/>
    <w:rsid w:val="006A5782"/>
    <w:rsid w:val="006C7861"/>
    <w:rsid w:val="006D0A95"/>
    <w:rsid w:val="006D275A"/>
    <w:rsid w:val="006E17E5"/>
    <w:rsid w:val="006E2EDF"/>
    <w:rsid w:val="006F7B5E"/>
    <w:rsid w:val="00717277"/>
    <w:rsid w:val="00736C91"/>
    <w:rsid w:val="00745379"/>
    <w:rsid w:val="0074542C"/>
    <w:rsid w:val="00787323"/>
    <w:rsid w:val="007C7210"/>
    <w:rsid w:val="007E0D98"/>
    <w:rsid w:val="007E61FC"/>
    <w:rsid w:val="007F07D6"/>
    <w:rsid w:val="00802419"/>
    <w:rsid w:val="0084223D"/>
    <w:rsid w:val="0086650B"/>
    <w:rsid w:val="00882BA2"/>
    <w:rsid w:val="00887387"/>
    <w:rsid w:val="008921D9"/>
    <w:rsid w:val="008A235F"/>
    <w:rsid w:val="008B78DF"/>
    <w:rsid w:val="008D42D3"/>
    <w:rsid w:val="008F21AA"/>
    <w:rsid w:val="008F33E1"/>
    <w:rsid w:val="00923893"/>
    <w:rsid w:val="00952F17"/>
    <w:rsid w:val="00960D59"/>
    <w:rsid w:val="009616C7"/>
    <w:rsid w:val="00962354"/>
    <w:rsid w:val="009820D7"/>
    <w:rsid w:val="009936C6"/>
    <w:rsid w:val="009D5027"/>
    <w:rsid w:val="009E2414"/>
    <w:rsid w:val="009E5AB0"/>
    <w:rsid w:val="009E5DF4"/>
    <w:rsid w:val="00A827AF"/>
    <w:rsid w:val="00A908F3"/>
    <w:rsid w:val="00AA073E"/>
    <w:rsid w:val="00AA23EA"/>
    <w:rsid w:val="00AB4BAA"/>
    <w:rsid w:val="00AD07C9"/>
    <w:rsid w:val="00AE5538"/>
    <w:rsid w:val="00AF07D2"/>
    <w:rsid w:val="00B02B8D"/>
    <w:rsid w:val="00B458AE"/>
    <w:rsid w:val="00B46B18"/>
    <w:rsid w:val="00B5573A"/>
    <w:rsid w:val="00B6410D"/>
    <w:rsid w:val="00B776EE"/>
    <w:rsid w:val="00BC350C"/>
    <w:rsid w:val="00BD39F0"/>
    <w:rsid w:val="00BF62D6"/>
    <w:rsid w:val="00BF767C"/>
    <w:rsid w:val="00C0699E"/>
    <w:rsid w:val="00C117F2"/>
    <w:rsid w:val="00C11920"/>
    <w:rsid w:val="00C1380F"/>
    <w:rsid w:val="00C3008B"/>
    <w:rsid w:val="00C3045E"/>
    <w:rsid w:val="00C44857"/>
    <w:rsid w:val="00C464DF"/>
    <w:rsid w:val="00C72ECB"/>
    <w:rsid w:val="00C82B09"/>
    <w:rsid w:val="00C9571D"/>
    <w:rsid w:val="00C95D09"/>
    <w:rsid w:val="00CA21A0"/>
    <w:rsid w:val="00CD004C"/>
    <w:rsid w:val="00CE3924"/>
    <w:rsid w:val="00D103E4"/>
    <w:rsid w:val="00D11938"/>
    <w:rsid w:val="00D13EEF"/>
    <w:rsid w:val="00D22DCB"/>
    <w:rsid w:val="00D47E88"/>
    <w:rsid w:val="00D50594"/>
    <w:rsid w:val="00D7040F"/>
    <w:rsid w:val="00D76BC4"/>
    <w:rsid w:val="00D83AA1"/>
    <w:rsid w:val="00D845D7"/>
    <w:rsid w:val="00D8555B"/>
    <w:rsid w:val="00DA0A82"/>
    <w:rsid w:val="00DA26BF"/>
    <w:rsid w:val="00DA7578"/>
    <w:rsid w:val="00DD00B1"/>
    <w:rsid w:val="00DE1E28"/>
    <w:rsid w:val="00DF301D"/>
    <w:rsid w:val="00DF6BD8"/>
    <w:rsid w:val="00E05866"/>
    <w:rsid w:val="00E16C8E"/>
    <w:rsid w:val="00E170D2"/>
    <w:rsid w:val="00E62C54"/>
    <w:rsid w:val="00E7138E"/>
    <w:rsid w:val="00E80F49"/>
    <w:rsid w:val="00E81D77"/>
    <w:rsid w:val="00E90F25"/>
    <w:rsid w:val="00E97647"/>
    <w:rsid w:val="00EA4B39"/>
    <w:rsid w:val="00EB7ECB"/>
    <w:rsid w:val="00ED31A3"/>
    <w:rsid w:val="00ED5ABD"/>
    <w:rsid w:val="00EE230D"/>
    <w:rsid w:val="00EE641D"/>
    <w:rsid w:val="00EE7831"/>
    <w:rsid w:val="00F10E68"/>
    <w:rsid w:val="00F14FB8"/>
    <w:rsid w:val="00F234AF"/>
    <w:rsid w:val="00F85317"/>
    <w:rsid w:val="00FB0181"/>
    <w:rsid w:val="00FE67C9"/>
    <w:rsid w:val="00FE717F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B18A"/>
  <w15:docId w15:val="{74927A11-EBE0-44A4-A300-7DE2AF88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6CA8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6CA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82B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798E"/>
  </w:style>
  <w:style w:type="paragraph" w:styleId="Zpat">
    <w:name w:val="footer"/>
    <w:basedOn w:val="Normln"/>
    <w:link w:val="ZpatChar"/>
    <w:uiPriority w:val="99"/>
    <w:unhideWhenUsed/>
    <w:rsid w:val="000B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798E"/>
  </w:style>
  <w:style w:type="table" w:styleId="Mkatabulky">
    <w:name w:val="Table Grid"/>
    <w:basedOn w:val="Normlntabulka"/>
    <w:uiPriority w:val="59"/>
    <w:rsid w:val="0057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E71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71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712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1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712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.cz/volby/volby-do-evropskeho-parlamentu/jezek-odchodu-z-ano-nelituji-i-kdyz-se-do-evropskeho-parlamentu-uz-mozna-nedostanu-4116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14938E-DAAD-41DE-AD84-8B9F4CDB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2996</Words>
  <Characters>17680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Skolilova Paskova</dc:creator>
  <cp:lastModifiedBy>Tereza Nováková</cp:lastModifiedBy>
  <cp:revision>9</cp:revision>
  <dcterms:created xsi:type="dcterms:W3CDTF">2019-05-13T08:05:00Z</dcterms:created>
  <dcterms:modified xsi:type="dcterms:W3CDTF">2019-05-15T11:41:00Z</dcterms:modified>
</cp:coreProperties>
</file>